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p>
    <w:p w:rsidR="00DB7BD1" w:rsidRDefault="00DB7BD1"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2753"/>
        <w:gridCol w:w="1744"/>
        <w:gridCol w:w="3689"/>
      </w:tblGrid>
      <w:tr w:rsidR="0094424E" w:rsidTr="005F4A7D">
        <w:trPr>
          <w:trHeight w:val="295"/>
          <w:jc w:val="center"/>
        </w:trPr>
        <w:tc>
          <w:tcPr>
            <w:tcW w:w="5131" w:type="dxa"/>
            <w:gridSpan w:val="3"/>
          </w:tcPr>
          <w:p w:rsidR="0094424E" w:rsidRPr="004F36A3" w:rsidRDefault="0094424E">
            <w:pPr>
              <w:rPr>
                <w:rFonts w:ascii="Arial" w:hAnsi="Arial"/>
                <w:b/>
                <w:bCs/>
                <w:noProof w:val="0"/>
                <w:sz w:val="26"/>
                <w:szCs w:val="26"/>
                <w:rtl/>
              </w:rPr>
            </w:pPr>
          </w:p>
        </w:tc>
        <w:tc>
          <w:tcPr>
            <w:tcW w:w="3689" w:type="dxa"/>
          </w:tcPr>
          <w:p w:rsidR="0094424E" w:rsidRPr="004F36A3" w:rsidRDefault="0094424E" w:rsidP="00896889">
            <w:pPr>
              <w:rPr>
                <w:rFonts w:ascii="Arial" w:hAnsi="Arial"/>
                <w:b/>
                <w:bCs/>
                <w:noProof w:val="0"/>
                <w:sz w:val="26"/>
                <w:szCs w:val="26"/>
                <w:rtl/>
              </w:rPr>
            </w:pPr>
            <w:r w:rsidRPr="004F36A3">
              <w:rPr>
                <w:rFonts w:ascii="Arial" w:hAnsi="Arial"/>
                <w:b/>
                <w:bCs/>
                <w:noProof w:val="0"/>
                <w:sz w:val="26"/>
                <w:szCs w:val="26"/>
                <w:rtl/>
              </w:rPr>
              <w:t>מספר בקשה:</w:t>
            </w:r>
            <w:sdt>
              <w:sdtPr>
                <w:rPr>
                  <w:sz w:val="26"/>
                  <w:szCs w:val="26"/>
                  <w:rtl/>
                </w:rPr>
                <w:alias w:val="1193"/>
                <w:tag w:val="1193"/>
                <w:id w:val="-636028727"/>
                <w:text w:multiLine="1"/>
              </w:sdtPr>
              <w:sdtEndPr/>
              <w:sdtContent>
                <w:r>
                  <w:rPr>
                    <w:rFonts w:ascii="Arial" w:hAnsi="Arial"/>
                    <w:b/>
                    <w:bCs/>
                    <w:noProof w:val="0"/>
                    <w:sz w:val="26"/>
                    <w:szCs w:val="26"/>
                    <w:rtl/>
                  </w:rPr>
                  <w:t>7</w:t>
                </w:r>
              </w:sdtContent>
            </w:sdt>
          </w:p>
        </w:tc>
      </w:tr>
      <w:tr w:rsidR="0094424E" w:rsidTr="005F4A7D">
        <w:trPr>
          <w:jc w:val="center"/>
        </w:trPr>
        <w:tc>
          <w:tcPr>
            <w:tcW w:w="634" w:type="dxa"/>
          </w:tcPr>
          <w:p w:rsidR="0094424E" w:rsidRPr="004F36A3" w:rsidRDefault="00840AFE" w:rsidP="00E962E3">
            <w:pPr>
              <w:jc w:val="both"/>
              <w:rPr>
                <w:rFonts w:ascii="Arial" w:hAnsi="Arial"/>
                <w:b/>
                <w:bCs/>
                <w:sz w:val="26"/>
                <w:szCs w:val="26"/>
                <w:rtl/>
              </w:rPr>
            </w:pPr>
            <w:r>
              <w:rPr>
                <w:rFonts w:ascii="Arial" w:hAnsi="Arial" w:hint="cs"/>
                <w:b/>
                <w:bCs/>
                <w:sz w:val="26"/>
                <w:szCs w:val="26"/>
                <w:rtl/>
              </w:rPr>
              <w:t>ל</w:t>
            </w:r>
            <w:r w:rsidR="0094424E" w:rsidRPr="004F36A3">
              <w:rPr>
                <w:rFonts w:ascii="Arial" w:hAnsi="Arial"/>
                <w:b/>
                <w:bCs/>
                <w:sz w:val="26"/>
                <w:szCs w:val="26"/>
                <w:rtl/>
              </w:rPr>
              <w:t xml:space="preserve">פני </w:t>
            </w:r>
          </w:p>
        </w:tc>
        <w:tc>
          <w:tcPr>
            <w:tcW w:w="8186" w:type="dxa"/>
            <w:gridSpan w:val="3"/>
          </w:tcPr>
          <w:p w:rsidR="0094424E" w:rsidRPr="004F36A3" w:rsidRDefault="000529D2">
            <w:pPr>
              <w:rPr>
                <w:rFonts w:ascii="Arial" w:hAnsi="Arial"/>
                <w:b/>
                <w:bCs/>
                <w:sz w:val="26"/>
                <w:szCs w:val="26"/>
                <w:rtl/>
              </w:rPr>
            </w:pPr>
            <w:r w:rsidRPr="004F36A3">
              <w:rPr>
                <w:rFonts w:ascii="Arial" w:hAnsi="Arial" w:hint="cs"/>
                <w:b/>
                <w:bCs/>
                <w:sz w:val="26"/>
                <w:szCs w:val="26"/>
                <w:rtl/>
              </w:rPr>
              <w:t>כבוד</w:t>
            </w:r>
            <w:r w:rsidR="0094424E" w:rsidRPr="004F36A3">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4F36A3">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אירית קלמן ברום</w:t>
                </w:r>
              </w:sdtContent>
            </w:sdt>
          </w:p>
          <w:p w:rsidR="0094424E" w:rsidRPr="004F36A3" w:rsidRDefault="0094424E">
            <w:pPr>
              <w:rPr>
                <w:rFonts w:ascii="Arial" w:hAnsi="Arial" w:cs="FrankRuehl"/>
                <w:sz w:val="26"/>
                <w:szCs w:val="26"/>
                <w:highlight w:val="yellow"/>
              </w:rPr>
            </w:pPr>
          </w:p>
        </w:tc>
      </w:tr>
      <w:tr w:rsidR="0094424E" w:rsidTr="005F4A7D">
        <w:trPr>
          <w:jc w:val="center"/>
        </w:trPr>
        <w:tc>
          <w:tcPr>
            <w:tcW w:w="3387" w:type="dxa"/>
            <w:gridSpan w:val="2"/>
          </w:tcPr>
          <w:sdt>
            <w:sdtPr>
              <w:rPr>
                <w:sz w:val="26"/>
                <w:szCs w:val="26"/>
                <w:rtl/>
              </w:rPr>
              <w:alias w:val="1180"/>
              <w:tag w:val="1180"/>
              <w:id w:val="637458750"/>
              <w:text w:multiLine="1"/>
            </w:sdtPr>
            <w:sdtEndPr/>
            <w:sdtContent>
              <w:p w:rsidR="00EB5881" w:rsidRDefault="00B04270" w:rsidP="00B04270">
                <w:pPr>
                  <w:rPr>
                    <w:rFonts w:ascii="Arial" w:hAnsi="Arial"/>
                    <w:b/>
                    <w:bCs/>
                    <w:noProof w:val="0"/>
                    <w:sz w:val="26"/>
                    <w:szCs w:val="26"/>
                    <w:rtl/>
                  </w:rPr>
                </w:pPr>
                <w:r>
                  <w:rPr>
                    <w:rFonts w:ascii="Arial" w:hAnsi="Arial" w:hint="cs"/>
                    <w:b/>
                    <w:bCs/>
                    <w:noProof w:val="0"/>
                    <w:sz w:val="26"/>
                    <w:szCs w:val="26"/>
                    <w:rtl/>
                  </w:rPr>
                  <w:t>התובע</w:t>
                </w:r>
              </w:p>
            </w:sdtContent>
          </w:sdt>
        </w:tc>
        <w:tc>
          <w:tcPr>
            <w:tcW w:w="5433" w:type="dxa"/>
            <w:gridSpan w:val="2"/>
          </w:tcPr>
          <w:p w:rsidR="0094424E" w:rsidRPr="004F36A3" w:rsidRDefault="00563203">
            <w:pPr>
              <w:rPr>
                <w:rFonts w:ascii="Arial" w:hAnsi="Arial"/>
                <w:b/>
                <w:bCs/>
                <w:noProof w:val="0"/>
                <w:sz w:val="26"/>
                <w:szCs w:val="26"/>
                <w:rtl/>
              </w:rPr>
            </w:pPr>
            <w:r w:rsidRPr="004F36A3">
              <w:rPr>
                <w:rFonts w:ascii="Arial" w:hAnsi="Arial" w:hint="cs"/>
                <w:b/>
                <w:bCs/>
                <w:noProof w:val="0"/>
                <w:sz w:val="26"/>
                <w:szCs w:val="26"/>
                <w:rtl/>
              </w:rPr>
              <w:t>פלוני</w:t>
            </w:r>
          </w:p>
          <w:p w:rsidR="0094424E" w:rsidRPr="00B04270" w:rsidRDefault="00EB22C9" w:rsidP="00F852D0">
            <w:pPr>
              <w:rPr>
                <w:noProof w:val="0"/>
                <w:sz w:val="26"/>
                <w:szCs w:val="26"/>
              </w:rPr>
            </w:pPr>
            <w:r>
              <w:rPr>
                <w:rFonts w:hint="cs"/>
                <w:sz w:val="26"/>
                <w:szCs w:val="26"/>
                <w:rtl/>
              </w:rPr>
              <w:t>ע"י ב"כ עו"ד</w:t>
            </w:r>
            <w:r w:rsidR="00B04270">
              <w:rPr>
                <w:rFonts w:hint="cs"/>
                <w:noProof w:val="0"/>
                <w:sz w:val="26"/>
                <w:szCs w:val="26"/>
                <w:rtl/>
              </w:rPr>
              <w:t xml:space="preserve"> אסף נוי</w:t>
            </w:r>
          </w:p>
        </w:tc>
      </w:tr>
      <w:tr w:rsidR="0094424E">
        <w:trPr>
          <w:jc w:val="center"/>
        </w:trPr>
        <w:tc>
          <w:tcPr>
            <w:tcW w:w="8820" w:type="dxa"/>
            <w:gridSpan w:val="4"/>
          </w:tcPr>
          <w:p w:rsidR="0094424E" w:rsidRPr="004F36A3" w:rsidRDefault="0094424E">
            <w:pPr>
              <w:rPr>
                <w:rFonts w:ascii="Arial" w:hAnsi="Arial"/>
                <w:b/>
                <w:bCs/>
                <w:noProof w:val="0"/>
                <w:sz w:val="26"/>
                <w:szCs w:val="26"/>
                <w:rtl/>
              </w:rPr>
            </w:pPr>
          </w:p>
          <w:p w:rsidR="0094424E" w:rsidRPr="004F36A3" w:rsidRDefault="0094424E">
            <w:pPr>
              <w:jc w:val="center"/>
              <w:rPr>
                <w:rFonts w:ascii="Arial" w:hAnsi="Arial"/>
                <w:b/>
                <w:bCs/>
                <w:noProof w:val="0"/>
                <w:sz w:val="26"/>
                <w:szCs w:val="26"/>
                <w:rtl/>
              </w:rPr>
            </w:pPr>
            <w:r w:rsidRPr="004F36A3">
              <w:rPr>
                <w:rFonts w:ascii="Arial" w:hAnsi="Arial"/>
                <w:b/>
                <w:bCs/>
                <w:noProof w:val="0"/>
                <w:sz w:val="26"/>
                <w:szCs w:val="26"/>
                <w:rtl/>
              </w:rPr>
              <w:t>נגד</w:t>
            </w:r>
          </w:p>
          <w:p w:rsidR="0094424E" w:rsidRPr="004F36A3" w:rsidRDefault="0094424E">
            <w:pPr>
              <w:rPr>
                <w:rFonts w:ascii="Arial" w:hAnsi="Arial"/>
                <w:b/>
                <w:bCs/>
                <w:noProof w:val="0"/>
                <w:sz w:val="26"/>
                <w:szCs w:val="26"/>
              </w:rPr>
            </w:pPr>
          </w:p>
        </w:tc>
      </w:tr>
      <w:tr w:rsidR="0094424E" w:rsidTr="005F4A7D">
        <w:trPr>
          <w:jc w:val="center"/>
        </w:trPr>
        <w:tc>
          <w:tcPr>
            <w:tcW w:w="3387" w:type="dxa"/>
            <w:gridSpan w:val="2"/>
          </w:tcPr>
          <w:p w:rsidR="0094424E" w:rsidRPr="004F36A3" w:rsidRDefault="00704604" w:rsidP="00B04270">
            <w:pPr>
              <w:rPr>
                <w:rFonts w:ascii="Arial" w:hAnsi="Arial"/>
                <w:b/>
                <w:bCs/>
                <w:noProof w:val="0"/>
                <w:sz w:val="26"/>
                <w:szCs w:val="26"/>
              </w:rPr>
            </w:pPr>
            <w:sdt>
              <w:sdtPr>
                <w:rPr>
                  <w:sz w:val="26"/>
                  <w:szCs w:val="26"/>
                  <w:rtl/>
                </w:rPr>
                <w:alias w:val="1184"/>
                <w:tag w:val="1184"/>
                <w:id w:val="-340621022"/>
                <w:text w:multiLine="1"/>
              </w:sdtPr>
              <w:sdtEndPr/>
              <w:sdtContent>
                <w:r w:rsidR="00B04270">
                  <w:rPr>
                    <w:rFonts w:ascii="Arial" w:hAnsi="Arial" w:hint="cs"/>
                    <w:b/>
                    <w:bCs/>
                    <w:noProof w:val="0"/>
                    <w:sz w:val="26"/>
                    <w:szCs w:val="26"/>
                    <w:rtl/>
                  </w:rPr>
                  <w:t>הנתבעים</w:t>
                </w:r>
              </w:sdtContent>
            </w:sdt>
          </w:p>
        </w:tc>
        <w:tc>
          <w:tcPr>
            <w:tcW w:w="5433" w:type="dxa"/>
            <w:gridSpan w:val="2"/>
          </w:tcPr>
          <w:p w:rsidR="00B04270" w:rsidRDefault="00704604" w:rsidP="00B04270">
            <w:pPr>
              <w:rPr>
                <w:sz w:val="26"/>
                <w:szCs w:val="26"/>
              </w:rPr>
            </w:pPr>
            <w:sdt>
              <w:sdtPr>
                <w:rPr>
                  <w:sz w:val="26"/>
                  <w:szCs w:val="26"/>
                  <w:rtl/>
                </w:rPr>
                <w:alias w:val="1571"/>
                <w:tag w:val="1571"/>
                <w:id w:val="-1292204515"/>
                <w:text w:multiLine="1"/>
              </w:sdtPr>
              <w:sdtEndPr/>
              <w:sdtContent>
                <w:r w:rsidR="00B04270">
                  <w:rPr>
                    <w:rFonts w:ascii="Arial" w:hAnsi="Arial"/>
                    <w:b/>
                    <w:bCs/>
                    <w:noProof w:val="0"/>
                    <w:sz w:val="26"/>
                    <w:szCs w:val="26"/>
                    <w:rtl/>
                  </w:rPr>
                  <w:t>1</w:t>
                </w:r>
              </w:sdtContent>
            </w:sdt>
            <w:r w:rsidR="00B04270">
              <w:rPr>
                <w:rFonts w:ascii="Arial" w:hAnsi="Arial"/>
                <w:b/>
                <w:bCs/>
                <w:noProof w:val="0"/>
                <w:sz w:val="26"/>
                <w:szCs w:val="26"/>
                <w:rtl/>
              </w:rPr>
              <w:t xml:space="preserve">. </w:t>
            </w:r>
            <w:sdt>
              <w:sdtPr>
                <w:rPr>
                  <w:sz w:val="26"/>
                  <w:szCs w:val="26"/>
                  <w:rtl/>
                </w:rPr>
                <w:alias w:val="1486"/>
                <w:tag w:val="1486"/>
                <w:id w:val="-309872140"/>
                <w:text w:multiLine="1"/>
              </w:sdtPr>
              <w:sdtEndPr/>
              <w:sdtContent>
                <w:r w:rsidR="00B04270">
                  <w:rPr>
                    <w:rFonts w:ascii="Arial" w:hAnsi="Arial"/>
                    <w:b/>
                    <w:bCs/>
                    <w:noProof w:val="0"/>
                    <w:sz w:val="26"/>
                    <w:szCs w:val="26"/>
                    <w:rtl/>
                  </w:rPr>
                  <w:t>קופת חולים כללית 589906114</w:t>
                </w:r>
              </w:sdtContent>
            </w:sdt>
          </w:p>
          <w:p w:rsidR="00B04270" w:rsidRDefault="00704604" w:rsidP="00B04270">
            <w:pPr>
              <w:rPr>
                <w:sz w:val="26"/>
                <w:szCs w:val="26"/>
                <w:rtl/>
              </w:rPr>
            </w:pPr>
            <w:sdt>
              <w:sdtPr>
                <w:rPr>
                  <w:sz w:val="26"/>
                  <w:szCs w:val="26"/>
                  <w:rtl/>
                </w:rPr>
                <w:alias w:val="1571"/>
                <w:tag w:val="1571"/>
                <w:id w:val="1139232454"/>
                <w:text w:multiLine="1"/>
              </w:sdtPr>
              <w:sdtEndPr/>
              <w:sdtContent>
                <w:r w:rsidR="00B04270">
                  <w:rPr>
                    <w:rFonts w:ascii="Arial" w:hAnsi="Arial"/>
                    <w:b/>
                    <w:bCs/>
                    <w:noProof w:val="0"/>
                    <w:sz w:val="26"/>
                    <w:szCs w:val="26"/>
                    <w:rtl/>
                  </w:rPr>
                  <w:t>2</w:t>
                </w:r>
              </w:sdtContent>
            </w:sdt>
            <w:r w:rsidR="00B04270">
              <w:rPr>
                <w:rFonts w:ascii="Arial" w:hAnsi="Arial"/>
                <w:b/>
                <w:bCs/>
                <w:noProof w:val="0"/>
                <w:sz w:val="26"/>
                <w:szCs w:val="26"/>
                <w:rtl/>
              </w:rPr>
              <w:t xml:space="preserve">. </w:t>
            </w:r>
            <w:sdt>
              <w:sdtPr>
                <w:rPr>
                  <w:sz w:val="26"/>
                  <w:szCs w:val="26"/>
                  <w:rtl/>
                </w:rPr>
                <w:alias w:val="1486"/>
                <w:tag w:val="1486"/>
                <w:id w:val="1272821323"/>
                <w:text w:multiLine="1"/>
              </w:sdtPr>
              <w:sdtEndPr/>
              <w:sdtContent>
                <w:r w:rsidR="00B04270">
                  <w:rPr>
                    <w:rFonts w:ascii="Arial" w:hAnsi="Arial"/>
                    <w:b/>
                    <w:bCs/>
                    <w:noProof w:val="0"/>
                    <w:sz w:val="26"/>
                    <w:szCs w:val="26"/>
                    <w:rtl/>
                  </w:rPr>
                  <w:t>בית חולים מאיר - כללית 589906114</w:t>
                </w:r>
              </w:sdtContent>
            </w:sdt>
          </w:p>
          <w:p w:rsidR="00B04270" w:rsidRDefault="00B04270" w:rsidP="00B04270">
            <w:pPr>
              <w:rPr>
                <w:sz w:val="26"/>
                <w:szCs w:val="26"/>
                <w:rtl/>
              </w:rPr>
            </w:pPr>
            <w:r>
              <w:rPr>
                <w:sz w:val="26"/>
                <w:szCs w:val="26"/>
                <w:rtl/>
              </w:rPr>
              <w:t>ע"י ב"כ עו"ד</w:t>
            </w:r>
            <w:r w:rsidR="00917435">
              <w:rPr>
                <w:rFonts w:hint="cs"/>
                <w:sz w:val="26"/>
                <w:szCs w:val="26"/>
                <w:rtl/>
              </w:rPr>
              <w:t xml:space="preserve"> אריה כרמלי, אלעד לירז</w:t>
            </w:r>
          </w:p>
          <w:p w:rsidR="00917435" w:rsidRDefault="00917435" w:rsidP="00B04270">
            <w:pPr>
              <w:rPr>
                <w:sz w:val="26"/>
                <w:szCs w:val="26"/>
                <w:rtl/>
              </w:rPr>
            </w:pPr>
          </w:p>
          <w:p w:rsidR="00B04270" w:rsidRDefault="00704604" w:rsidP="00B04270">
            <w:pPr>
              <w:rPr>
                <w:sz w:val="26"/>
                <w:szCs w:val="26"/>
                <w:rtl/>
              </w:rPr>
            </w:pPr>
            <w:sdt>
              <w:sdtPr>
                <w:rPr>
                  <w:sz w:val="26"/>
                  <w:szCs w:val="26"/>
                  <w:rtl/>
                </w:rPr>
                <w:alias w:val="1571"/>
                <w:tag w:val="1571"/>
                <w:id w:val="-373004879"/>
                <w:text w:multiLine="1"/>
              </w:sdtPr>
              <w:sdtEndPr/>
              <w:sdtContent>
                <w:r w:rsidR="00B04270">
                  <w:rPr>
                    <w:rFonts w:ascii="Arial" w:hAnsi="Arial"/>
                    <w:b/>
                    <w:bCs/>
                    <w:noProof w:val="0"/>
                    <w:sz w:val="26"/>
                    <w:szCs w:val="26"/>
                    <w:rtl/>
                  </w:rPr>
                  <w:t>3</w:t>
                </w:r>
              </w:sdtContent>
            </w:sdt>
            <w:r w:rsidR="00B04270">
              <w:rPr>
                <w:rFonts w:ascii="Arial" w:hAnsi="Arial"/>
                <w:b/>
                <w:bCs/>
                <w:noProof w:val="0"/>
                <w:sz w:val="26"/>
                <w:szCs w:val="26"/>
                <w:rtl/>
              </w:rPr>
              <w:t xml:space="preserve">. </w:t>
            </w:r>
            <w:sdt>
              <w:sdtPr>
                <w:rPr>
                  <w:sz w:val="26"/>
                  <w:szCs w:val="26"/>
                  <w:rtl/>
                </w:rPr>
                <w:alias w:val="1486"/>
                <w:tag w:val="1486"/>
                <w:id w:val="1899932991"/>
                <w:text w:multiLine="1"/>
              </w:sdtPr>
              <w:sdtEndPr/>
              <w:sdtContent>
                <w:r w:rsidR="00B04270">
                  <w:rPr>
                    <w:rFonts w:ascii="Arial" w:hAnsi="Arial"/>
                    <w:b/>
                    <w:bCs/>
                    <w:noProof w:val="0"/>
                    <w:sz w:val="26"/>
                    <w:szCs w:val="26"/>
                    <w:rtl/>
                  </w:rPr>
                  <w:t>בית חולים לניאדו 580082014</w:t>
                </w:r>
              </w:sdtContent>
            </w:sdt>
          </w:p>
          <w:p w:rsidR="0094424E" w:rsidRPr="004F36A3" w:rsidRDefault="00B04270" w:rsidP="00B04270">
            <w:pPr>
              <w:rPr>
                <w:sz w:val="26"/>
                <w:szCs w:val="26"/>
                <w:rtl/>
              </w:rPr>
            </w:pPr>
            <w:r>
              <w:rPr>
                <w:sz w:val="26"/>
                <w:szCs w:val="26"/>
                <w:rtl/>
              </w:rPr>
              <w:t>ע"י ב"כ עו"ד</w:t>
            </w:r>
            <w:r w:rsidR="00917435">
              <w:rPr>
                <w:rFonts w:hint="cs"/>
                <w:sz w:val="26"/>
                <w:szCs w:val="26"/>
                <w:rtl/>
              </w:rPr>
              <w:t xml:space="preserve"> איתן האזרחי, הדס בר גיורא</w:t>
            </w: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917435" w:rsidRDefault="00917435" w:rsidP="00917435">
      <w:pPr>
        <w:jc w:val="center"/>
        <w:rPr>
          <w:rFonts w:ascii="David" w:hAnsi="David"/>
          <w:noProof w:val="0"/>
          <w:spacing w:val="6"/>
        </w:rPr>
      </w:pPr>
      <w:bookmarkStart w:id="0" w:name="NGCSBookmark"/>
      <w:bookmarkEnd w:id="0"/>
    </w:p>
    <w:p w:rsidR="00917435" w:rsidRPr="005F4A7D" w:rsidRDefault="00917435" w:rsidP="005F4A7D">
      <w:pPr>
        <w:spacing w:line="480" w:lineRule="auto"/>
        <w:jc w:val="both"/>
        <w:rPr>
          <w:rFonts w:ascii="David" w:hAnsi="David"/>
          <w:spacing w:val="6"/>
          <w:rtl/>
        </w:rPr>
      </w:pPr>
      <w:r w:rsidRPr="005F4A7D">
        <w:rPr>
          <w:rFonts w:ascii="David" w:hAnsi="David"/>
          <w:spacing w:val="6"/>
          <w:rtl/>
        </w:rPr>
        <w:t>בפניי שתי בקשות לסילוקה על הסף של התביעה בטענות להיעדר עילה והתיישנות.</w:t>
      </w:r>
    </w:p>
    <w:p w:rsidR="00917435" w:rsidRPr="005F4A7D" w:rsidRDefault="00917435" w:rsidP="005F4A7D">
      <w:pPr>
        <w:spacing w:line="480" w:lineRule="auto"/>
        <w:jc w:val="both"/>
        <w:rPr>
          <w:rFonts w:ascii="David" w:hAnsi="David"/>
          <w:spacing w:val="6"/>
        </w:rPr>
      </w:pPr>
      <w:r w:rsidRPr="005F4A7D">
        <w:rPr>
          <w:rFonts w:ascii="David" w:hAnsi="David"/>
          <w:spacing w:val="6"/>
          <w:rtl/>
        </w:rPr>
        <w:t>עסקינן בתביעת רשלנות רפואית אשר הוגשה על ידי תובע יליד שנת 1993, כנגד קופת חולים כללית ובית חולים מאיר (נתבעים מס' 1, 2 בהתאמה) וכנגד בית חולים לניאדו (נתבע מס' 3).</w:t>
      </w:r>
    </w:p>
    <w:p w:rsidR="00917435" w:rsidRDefault="00917435" w:rsidP="00560240">
      <w:pPr>
        <w:spacing w:after="160" w:line="480" w:lineRule="auto"/>
        <w:jc w:val="both"/>
        <w:rPr>
          <w:rFonts w:ascii="David" w:hAnsi="David"/>
          <w:b/>
          <w:bCs/>
          <w:spacing w:val="6"/>
        </w:rPr>
      </w:pPr>
      <w:r>
        <w:rPr>
          <w:rFonts w:ascii="David" w:hAnsi="David"/>
          <w:b/>
          <w:bCs/>
          <w:spacing w:val="6"/>
          <w:rtl/>
        </w:rPr>
        <w:t>תמצית טענות הנתבעים 2-1</w:t>
      </w:r>
    </w:p>
    <w:p w:rsidR="00917435" w:rsidRDefault="00917435" w:rsidP="00917435">
      <w:pPr>
        <w:pStyle w:val="ad"/>
        <w:numPr>
          <w:ilvl w:val="0"/>
          <w:numId w:val="1"/>
        </w:numPr>
        <w:spacing w:line="480" w:lineRule="auto"/>
        <w:jc w:val="both"/>
        <w:rPr>
          <w:rFonts w:ascii="David" w:hAnsi="David" w:cs="David"/>
          <w:spacing w:val="6"/>
          <w:sz w:val="24"/>
          <w:szCs w:val="24"/>
          <w:rtl/>
        </w:rPr>
      </w:pPr>
      <w:r>
        <w:rPr>
          <w:rFonts w:ascii="David" w:hAnsi="David" w:cs="David"/>
          <w:spacing w:val="6"/>
          <w:sz w:val="24"/>
          <w:szCs w:val="24"/>
          <w:rtl/>
        </w:rPr>
        <w:t>התביעה כנגדם התיישנה, התובע יליד שנת 1993 ומרוץ ההתיישנות הסתיים בשנת 2018 עת הגיע התובע לגיל 25.</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כתב התביעה מפרט מסכת אירועים החל מילדותו המוקדמת של התובע ועד לשנת 2020 אולם חוות הדעת כוללת טענות בדבר התרשלות הנתבעים 1-2 בין השנים 2015-1994, אשר על פניו התיישנו זה מכבר.</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יש לדחות את טענת התובע להארכת תקופת ההתיישנות לאור הכלל של התיישנות שלא מדעת (סעיף 8 לחוק ההתיישנות, תשי"ח-1958 (להלן: "</w:t>
      </w:r>
      <w:r>
        <w:rPr>
          <w:rFonts w:ascii="David" w:hAnsi="David" w:cs="David"/>
          <w:b/>
          <w:bCs/>
          <w:spacing w:val="6"/>
          <w:sz w:val="24"/>
          <w:szCs w:val="24"/>
          <w:rtl/>
        </w:rPr>
        <w:t>חוק ההתיישנות</w:t>
      </w:r>
      <w:r>
        <w:rPr>
          <w:rFonts w:ascii="David" w:hAnsi="David" w:cs="David"/>
          <w:spacing w:val="6"/>
          <w:sz w:val="24"/>
          <w:szCs w:val="24"/>
          <w:rtl/>
        </w:rPr>
        <w:t xml:space="preserve">") הואיל והתובע לא הצביע על עובדות המהוות את עילת התביעה, אשר התגלו לו רק בשנת 2020 ולא התגלו </w:t>
      </w:r>
      <w:r>
        <w:rPr>
          <w:rFonts w:ascii="David" w:hAnsi="David" w:cs="David"/>
          <w:spacing w:val="6"/>
          <w:sz w:val="24"/>
          <w:szCs w:val="24"/>
          <w:rtl/>
        </w:rPr>
        <w:lastRenderedPageBreak/>
        <w:t>קודם לכן מסיבות שלא היו תלויות בו ושאף בזהירות סבירה לא יכול היה למנוע אותן, כקבוע בסעיף 8 לחוק ההתיישנות.</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באשר לטענות התובע ביחס לאירועים מהשנים 2020-2016 הרי שאלה אינם נמנים על מעשי ההתרשלות המיוחסים לנתבעים 1-2 בין השנים 2015-1994 ובשנים 2020-2016 לא מיוחסות לנתבעים 1-2 טענות בדבר פעולות לא סבירות אשר גרמו לנזק ובדבר קשר סיבתי בינן לנכויות הנטענות.</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לחילופין ולמען הזהירות, יש לדחות על הסף את החלקים המשמעותיים בכתב התביעה, ובכללם כל הפעולות הרפואיות אשר התבצעו לפני חודש מאי 2016, לגביהן אין מחלוקת כי אכן התיישנו.</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למען הזהירות מבוקשת ארכה להגשת כתב הגנה עד לאחר ההכרעה בבקשה.</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כמו כן מבוקש למחוק את הנתבע מס' 2, בית חולים מאיר, משאינו אישיות משפטית נפרדת אלא מצוי בבעלות הנתבעת 1.</w:t>
      </w:r>
    </w:p>
    <w:p w:rsidR="00917435" w:rsidRDefault="00917435" w:rsidP="00560240">
      <w:pPr>
        <w:spacing w:after="160" w:line="480" w:lineRule="auto"/>
        <w:jc w:val="both"/>
        <w:rPr>
          <w:rFonts w:ascii="David" w:hAnsi="David"/>
          <w:b/>
          <w:bCs/>
          <w:spacing w:val="6"/>
          <w:rtl/>
        </w:rPr>
      </w:pPr>
      <w:r>
        <w:rPr>
          <w:rFonts w:ascii="David" w:hAnsi="David"/>
          <w:b/>
          <w:bCs/>
          <w:spacing w:val="6"/>
          <w:rtl/>
        </w:rPr>
        <w:t>תמצית טענות הנתבע 3</w:t>
      </w:r>
    </w:p>
    <w:p w:rsidR="00917435" w:rsidRDefault="00917435" w:rsidP="00917435">
      <w:pPr>
        <w:pStyle w:val="ad"/>
        <w:numPr>
          <w:ilvl w:val="0"/>
          <w:numId w:val="1"/>
        </w:numPr>
        <w:spacing w:line="480" w:lineRule="auto"/>
        <w:jc w:val="both"/>
        <w:rPr>
          <w:rFonts w:ascii="David" w:hAnsi="David" w:cs="David"/>
          <w:spacing w:val="6"/>
          <w:sz w:val="24"/>
          <w:szCs w:val="24"/>
          <w:rtl/>
        </w:rPr>
      </w:pPr>
      <w:r>
        <w:rPr>
          <w:rFonts w:ascii="David" w:hAnsi="David" w:cs="David"/>
          <w:spacing w:val="6"/>
          <w:sz w:val="24"/>
          <w:szCs w:val="24"/>
          <w:rtl/>
        </w:rPr>
        <w:t xml:space="preserve">בכתב התביעה נטען שמחלת הבסיס אשר גרמה לתלונות המרכזיות של התובע משחר לידתו הינה מחלת הירשפרונג, המחלה אובחנה באופן סופי בתאריך 13.9.2000 וניתן היה לרפאה בניתוח שבוצע לתובע ביום 12.10.2000. מכל מקום, טענות התביעה אודות אבחון מחלת הבסיס והטיפול בה, נעשו באופן בלעדי בבית חולים מאיר. </w:t>
      </w:r>
    </w:p>
    <w:p w:rsidR="00917435" w:rsidRDefault="00917435" w:rsidP="005F4A7D">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בתאריך 25.8.2002 פנה התובע לבית חולים מאיר עם אותן תלונות הבסיס לאחר שבוצע ניתוח התיקון, ובמועד זה יכול היה להבין היטב ובבירור כי ניתוח זה לא צלח</w:t>
      </w:r>
      <w:r w:rsidR="005F4A7D">
        <w:rPr>
          <w:rFonts w:ascii="David" w:hAnsi="David" w:cs="David" w:hint="cs"/>
          <w:spacing w:val="6"/>
          <w:sz w:val="24"/>
          <w:szCs w:val="24"/>
          <w:rtl/>
        </w:rPr>
        <w:t>,</w:t>
      </w:r>
      <w:r>
        <w:rPr>
          <w:rFonts w:ascii="David" w:hAnsi="David" w:cs="David"/>
          <w:spacing w:val="6"/>
          <w:sz w:val="24"/>
          <w:szCs w:val="24"/>
          <w:rtl/>
        </w:rPr>
        <w:t xml:space="preserve"> מדובר במועד המאוחר ביותר להיווצרות "קצה חוט" לצורך תחילת מרוץ ההתיישנות. </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 xml:space="preserve">בתאריך 29.4.2010 יכול היה התובע לדעת ולמצער להתחיל בירור עקב חשד מבוסס לטיפול כושל בתלונות הבסיס ובמחלת הבסיס במסגרת בית חולים מאיר. למעשה, </w:t>
      </w:r>
      <w:r w:rsidR="005F4A7D">
        <w:rPr>
          <w:rFonts w:ascii="David" w:hAnsi="David" w:cs="David" w:hint="cs"/>
          <w:spacing w:val="6"/>
          <w:sz w:val="24"/>
          <w:szCs w:val="24"/>
          <w:rtl/>
        </w:rPr>
        <w:t>"</w:t>
      </w:r>
      <w:r>
        <w:rPr>
          <w:rFonts w:ascii="David" w:hAnsi="David" w:cs="David"/>
          <w:spacing w:val="6"/>
          <w:sz w:val="24"/>
          <w:szCs w:val="24"/>
          <w:rtl/>
        </w:rPr>
        <w:t>קצה החוט</w:t>
      </w:r>
      <w:r w:rsidR="005F4A7D">
        <w:rPr>
          <w:rFonts w:ascii="David" w:hAnsi="David" w:cs="David" w:hint="cs"/>
          <w:spacing w:val="6"/>
          <w:sz w:val="24"/>
          <w:szCs w:val="24"/>
          <w:rtl/>
        </w:rPr>
        <w:t>"</w:t>
      </w:r>
      <w:r>
        <w:rPr>
          <w:rFonts w:ascii="David" w:hAnsi="David" w:cs="David"/>
          <w:spacing w:val="6"/>
          <w:sz w:val="24"/>
          <w:szCs w:val="24"/>
          <w:rtl/>
        </w:rPr>
        <w:t xml:space="preserve"> והחשד שהצריך בירור התגבשו לידי ודאות מוחלטת בשנת 2005, נוכח הטענה כי הניתוח אשר בוצע ביום 8.5.2005 בבית חולים מאיר לא פתר את תלונות הבסיס. אף מומחה </w:t>
      </w:r>
      <w:r>
        <w:rPr>
          <w:rFonts w:ascii="David" w:hAnsi="David" w:cs="David"/>
          <w:spacing w:val="6"/>
          <w:sz w:val="24"/>
          <w:szCs w:val="24"/>
          <w:rtl/>
        </w:rPr>
        <w:lastRenderedPageBreak/>
        <w:t xml:space="preserve">התביעה מציין כי לאחר הניתוחים והטיפולים בשנת 2010, מצבו של התובע המשיך להתדרדר. </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הביקורים הנקודתיים המוכחשים, בבית חולים לניאדו בשנת 2000 ו-2005 אינם רלוונטיים לנזקי התובע. יש למחוק את התביעה כנגד בית חולים לניאדו בהיעדר יריבות.</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לנתבע 3 אין תיעוד של פניית התובע במהלך שנת 2016 כפי שטען התובע (ר' להלן), אף לא צורפה כל אסמכתא מבית חולים לניאדו, וממילא אף אם הייתה פניה כזו, היא נבעה מסדרה של ניתוחים ופעולות שבוצעו בבית חולים מאיר.</w:t>
      </w:r>
    </w:p>
    <w:p w:rsidR="00917435" w:rsidRDefault="00917435" w:rsidP="00560240">
      <w:pPr>
        <w:spacing w:after="160" w:line="480" w:lineRule="auto"/>
        <w:jc w:val="both"/>
        <w:rPr>
          <w:rFonts w:ascii="David" w:hAnsi="David"/>
          <w:b/>
          <w:bCs/>
          <w:spacing w:val="6"/>
          <w:rtl/>
        </w:rPr>
      </w:pPr>
      <w:r>
        <w:rPr>
          <w:rFonts w:ascii="David" w:hAnsi="David"/>
          <w:b/>
          <w:bCs/>
          <w:spacing w:val="6"/>
          <w:rtl/>
        </w:rPr>
        <w:t>תמצית תגובת התובע</w:t>
      </w:r>
    </w:p>
    <w:p w:rsidR="00917435" w:rsidRDefault="00917435" w:rsidP="00E97B5C">
      <w:pPr>
        <w:pStyle w:val="ad"/>
        <w:numPr>
          <w:ilvl w:val="0"/>
          <w:numId w:val="1"/>
        </w:numPr>
        <w:spacing w:line="480" w:lineRule="auto"/>
        <w:jc w:val="both"/>
        <w:rPr>
          <w:rFonts w:ascii="David" w:hAnsi="David" w:cs="David"/>
          <w:spacing w:val="6"/>
          <w:sz w:val="24"/>
          <w:szCs w:val="24"/>
          <w:rtl/>
        </w:rPr>
      </w:pPr>
      <w:r>
        <w:rPr>
          <w:rFonts w:ascii="David" w:hAnsi="David" w:cs="David"/>
          <w:spacing w:val="6"/>
          <w:sz w:val="24"/>
          <w:szCs w:val="24"/>
          <w:rtl/>
        </w:rPr>
        <w:t>ביום 7.5.2000 החלו הצוותים בבית חולים מאיר לבצע הערכת מצב של מערכת העיכול במקום לבצע ביופסיה מתוכננת היטב ולהגיע למסקנה סופית כי התובע סובל ממחלת הירשפרונג, במהלך ניתוח כושל שבוצע בתאריך 12.10.2000 נצפתה חוסר שלמות בהחלטות שנלקחו אליהם התלוו כשלים כירורגיים, זיהומים, ועוד.</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במהלך השנים מצב הכליה השמאלית הורע ובשנת 2019, מועד המצוי בתוך תקופת ההתיישנות, בוצעה כריתת כליה באיחור רב. חודש לאחר מכן נותח התובע לאחר חוסר טיפול בתהליך הדלקתי ממנו סבל, במעי הגס נמצא נמק – ונכרת. בהמשך נדרש התובע לאשפוזים רבים נוספים.</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לטענת התובע, עילת התביעה נולדה ביום 29.3.2020, מועד בו שוחרר לביתו כאשר מאזור האגן ממשיכה הפרשת מוגלה מרובה המחייבת טיפול מתמשך.</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 xml:space="preserve">אף אם מרוץ ההתיישנות יספר מתחילת האירוע אשר התרחש בחודש יולי 2016 כאשר נצפתה כליה מוגדלת, התביעה אשר הוגשה  בחודש מרץ 2023 טרם התיישנה. </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במהלך שנת 2017 עבר התובע ניתוח נוסף. בשנת 2018 אושפז שוב עקב כאבים, אובחן דלף, דימום, ובשנת 2019 נותח שוב ונכרתה הכליה השמאלית, כאמור, עקב התרחשות סיבוכים נדרש התובע לניתוחים ופרוצדורות נוספות.</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 xml:space="preserve">ביחס לבית חולים לניאדו מפנה התובע לאירוע משנת 2016 בו נצפתה כליה שמאלית מוגדלת ופרוצדורות שונות בחודש ספטמבר 2016 ו-2017. התובע מציין "אשפוז בבית </w:t>
      </w:r>
      <w:r>
        <w:rPr>
          <w:rFonts w:ascii="David" w:hAnsi="David" w:cs="David"/>
          <w:spacing w:val="6"/>
          <w:sz w:val="24"/>
          <w:szCs w:val="24"/>
          <w:rtl/>
        </w:rPr>
        <w:lastRenderedPageBreak/>
        <w:t>חולים לניאדו, עם מתן 3 מנות דם, אך ללא גילוי מקור הדימום ממערכת העיכול" (ר' בראש עמ' 8 לחוות הדעת מטעם מומחה התביעה).</w:t>
      </w:r>
    </w:p>
    <w:p w:rsidR="00917435" w:rsidRDefault="00917435" w:rsidP="00560240">
      <w:pPr>
        <w:spacing w:after="160" w:line="480" w:lineRule="auto"/>
        <w:jc w:val="both"/>
        <w:rPr>
          <w:rFonts w:ascii="David" w:hAnsi="David"/>
          <w:b/>
          <w:bCs/>
          <w:spacing w:val="6"/>
          <w:u w:val="single"/>
          <w:rtl/>
        </w:rPr>
      </w:pPr>
      <w:r>
        <w:rPr>
          <w:rFonts w:ascii="David" w:hAnsi="David"/>
          <w:b/>
          <w:bCs/>
          <w:spacing w:val="6"/>
          <w:u w:val="single"/>
          <w:rtl/>
        </w:rPr>
        <w:t>דיון והכרעה</w:t>
      </w:r>
    </w:p>
    <w:p w:rsidR="00917435" w:rsidRDefault="00917435" w:rsidP="006D0BE9">
      <w:pPr>
        <w:pStyle w:val="ad"/>
        <w:numPr>
          <w:ilvl w:val="0"/>
          <w:numId w:val="1"/>
        </w:numPr>
        <w:spacing w:line="480" w:lineRule="auto"/>
        <w:jc w:val="both"/>
        <w:rPr>
          <w:rFonts w:ascii="David" w:hAnsi="David" w:cs="David"/>
          <w:spacing w:val="6"/>
          <w:sz w:val="24"/>
          <w:szCs w:val="24"/>
          <w:rtl/>
        </w:rPr>
      </w:pPr>
      <w:r>
        <w:rPr>
          <w:rFonts w:ascii="David" w:hAnsi="David" w:cs="David"/>
          <w:spacing w:val="6"/>
          <w:sz w:val="24"/>
          <w:szCs w:val="24"/>
          <w:rtl/>
        </w:rPr>
        <w:t xml:space="preserve">לאחר שעיינתי בבקשות, בתגובות, בכתבי הטענות לרבות בחוות הדעת שצורפה לכתב התביעה, הגעתי למסקנה כי דין </w:t>
      </w:r>
      <w:r w:rsidR="006D0BE9">
        <w:rPr>
          <w:rFonts w:ascii="David" w:hAnsi="David" w:cs="David" w:hint="cs"/>
          <w:spacing w:val="6"/>
          <w:sz w:val="24"/>
          <w:szCs w:val="24"/>
          <w:rtl/>
        </w:rPr>
        <w:t>ה</w:t>
      </w:r>
      <w:r>
        <w:rPr>
          <w:rFonts w:ascii="David" w:hAnsi="David" w:cs="David"/>
          <w:spacing w:val="6"/>
          <w:sz w:val="24"/>
          <w:szCs w:val="24"/>
          <w:rtl/>
        </w:rPr>
        <w:t>בקש</w:t>
      </w:r>
      <w:r w:rsidR="006D0BE9">
        <w:rPr>
          <w:rFonts w:ascii="David" w:hAnsi="David" w:cs="David" w:hint="cs"/>
          <w:spacing w:val="6"/>
          <w:sz w:val="24"/>
          <w:szCs w:val="24"/>
          <w:rtl/>
        </w:rPr>
        <w:t>ו</w:t>
      </w:r>
      <w:r>
        <w:rPr>
          <w:rFonts w:ascii="David" w:hAnsi="David" w:cs="David"/>
          <w:spacing w:val="6"/>
          <w:sz w:val="24"/>
          <w:szCs w:val="24"/>
          <w:rtl/>
        </w:rPr>
        <w:t>ת</w:t>
      </w:r>
      <w:r w:rsidR="006D0BE9">
        <w:rPr>
          <w:rFonts w:ascii="David" w:hAnsi="David" w:cs="David" w:hint="cs"/>
          <w:spacing w:val="6"/>
          <w:sz w:val="24"/>
          <w:szCs w:val="24"/>
          <w:rtl/>
        </w:rPr>
        <w:t xml:space="preserve"> להתקבל חלקית.</w:t>
      </w:r>
      <w:r>
        <w:rPr>
          <w:rFonts w:ascii="David" w:hAnsi="David" w:cs="David"/>
          <w:spacing w:val="6"/>
          <w:sz w:val="24"/>
          <w:szCs w:val="24"/>
          <w:rtl/>
        </w:rPr>
        <w:t xml:space="preserve"> </w:t>
      </w:r>
    </w:p>
    <w:p w:rsidR="00917435" w:rsidRDefault="00917435" w:rsidP="00917435">
      <w:pPr>
        <w:pStyle w:val="ad"/>
        <w:numPr>
          <w:ilvl w:val="0"/>
          <w:numId w:val="1"/>
        </w:numPr>
        <w:spacing w:line="480" w:lineRule="auto"/>
        <w:ind w:left="357" w:hanging="357"/>
        <w:jc w:val="both"/>
        <w:rPr>
          <w:rFonts w:ascii="David" w:hAnsi="David" w:cs="David"/>
          <w:spacing w:val="6"/>
          <w:sz w:val="24"/>
          <w:szCs w:val="24"/>
          <w:rtl/>
        </w:rPr>
      </w:pPr>
      <w:r>
        <w:rPr>
          <w:rFonts w:ascii="David" w:hAnsi="David" w:cs="David"/>
          <w:spacing w:val="6"/>
          <w:sz w:val="24"/>
          <w:szCs w:val="24"/>
          <w:rtl/>
        </w:rPr>
        <w:t>הלכה ידועה היא כי סילוק על הסף ה</w:t>
      </w:r>
      <w:r w:rsidR="006D0BE9">
        <w:rPr>
          <w:rFonts w:ascii="David" w:hAnsi="David" w:cs="David" w:hint="cs"/>
          <w:spacing w:val="6"/>
          <w:sz w:val="24"/>
          <w:szCs w:val="24"/>
          <w:rtl/>
        </w:rPr>
        <w:t>י</w:t>
      </w:r>
      <w:r>
        <w:rPr>
          <w:rFonts w:ascii="David" w:hAnsi="David" w:cs="David"/>
          <w:spacing w:val="6"/>
          <w:sz w:val="24"/>
          <w:szCs w:val="24"/>
          <w:rtl/>
        </w:rPr>
        <w:t xml:space="preserve">נו הליך קיצוני וחריג השמור למקרים יוצאי דופן. בית המשפט לא ייעתר לבקשה לסילוק על הסף אלא לאחר בחינה קפדנית המובילה למסקנה כי אין לתובע ולו סיכוי קלוש לקבלת תביעתו אם יוכיח טענותיו (ר' רע"א 7181/20 </w:t>
      </w:r>
      <w:r>
        <w:rPr>
          <w:rFonts w:ascii="David" w:hAnsi="David" w:cs="David"/>
          <w:b/>
          <w:bCs/>
          <w:spacing w:val="6"/>
          <w:sz w:val="24"/>
          <w:szCs w:val="24"/>
          <w:rtl/>
        </w:rPr>
        <w:t>פקלמן נ' משמרת חברה לשירותי נאמנות בע"מ</w:t>
      </w:r>
      <w:r>
        <w:rPr>
          <w:rFonts w:ascii="David" w:hAnsi="David" w:cs="David"/>
          <w:spacing w:val="6"/>
          <w:sz w:val="24"/>
          <w:szCs w:val="24"/>
          <w:rtl/>
        </w:rPr>
        <w:t xml:space="preserve">, בפסקה 14 (16.3.2021), אורי גורן </w:t>
      </w:r>
      <w:r>
        <w:rPr>
          <w:rFonts w:ascii="David" w:hAnsi="David" w:cs="David"/>
          <w:b/>
          <w:bCs/>
          <w:spacing w:val="6"/>
          <w:sz w:val="24"/>
          <w:szCs w:val="24"/>
          <w:rtl/>
        </w:rPr>
        <w:t>סוגיות בסדר דין אזרחי</w:t>
      </w:r>
      <w:r>
        <w:rPr>
          <w:rFonts w:ascii="David" w:hAnsi="David" w:cs="David"/>
          <w:spacing w:val="6"/>
          <w:sz w:val="24"/>
          <w:szCs w:val="24"/>
          <w:rtl/>
        </w:rPr>
        <w:t xml:space="preserve"> 287 (מהדורה שלוש-עשרה, 2020)). בהקשר זה נפסק זה מכבר ב-רע"א 1635/13 </w:t>
      </w:r>
      <w:r>
        <w:rPr>
          <w:rFonts w:ascii="David" w:hAnsi="David" w:cs="David"/>
          <w:b/>
          <w:bCs/>
          <w:spacing w:val="6"/>
          <w:sz w:val="24"/>
          <w:szCs w:val="24"/>
          <w:rtl/>
        </w:rPr>
        <w:t>מדינת ישראל - משרד הבטחון נ' מיכאל (מייק) אלדר</w:t>
      </w:r>
      <w:r>
        <w:rPr>
          <w:rFonts w:ascii="David" w:hAnsi="David" w:cs="David"/>
          <w:spacing w:val="6"/>
          <w:sz w:val="24"/>
          <w:szCs w:val="24"/>
          <w:rtl/>
        </w:rPr>
        <w:t>, בפסקה 13 (12.3.2013):</w:t>
      </w:r>
    </w:p>
    <w:p w:rsidR="00917435" w:rsidRDefault="00917435" w:rsidP="00917435">
      <w:pPr>
        <w:pStyle w:val="ad"/>
        <w:spacing w:line="360" w:lineRule="auto"/>
        <w:ind w:left="1786" w:right="1134"/>
        <w:jc w:val="both"/>
        <w:rPr>
          <w:rFonts w:ascii="David" w:hAnsi="David" w:cs="David"/>
          <w:b/>
          <w:bCs/>
          <w:spacing w:val="6"/>
          <w:sz w:val="24"/>
          <w:szCs w:val="24"/>
          <w:rtl/>
        </w:rPr>
      </w:pPr>
      <w:r>
        <w:rPr>
          <w:rFonts w:ascii="David" w:hAnsi="David" w:cs="David"/>
          <w:b/>
          <w:bCs/>
          <w:spacing w:val="6"/>
          <w:sz w:val="24"/>
          <w:szCs w:val="24"/>
          <w:rtl/>
        </w:rPr>
        <w:t>"דומה, אם כן, שיש הצדקה לא למהר ולהכריע בשאלות אלה על סיפה של התביעה, בטרם נערך בירור ראייתי אשר יסייע בליבון טענותיהם של הצדדים תוך העמדת התמונה העובדתית המלאה בפני בית המשפט. תוצאה זו הולמת את הכלל המורה לנהוג בסמכות הסילוק על הסף בזהירות מופלגת ולהפעילה במקרים יוצאי דופן בלבד, כאשר אין ולו אפשרות קלושה שבירור התובענה לגופה יניב לתובע את הסעד המבוקש"</w:t>
      </w:r>
    </w:p>
    <w:p w:rsidR="00917435" w:rsidRDefault="00917435" w:rsidP="00917435">
      <w:pPr>
        <w:pStyle w:val="ad"/>
        <w:spacing w:after="0" w:line="240" w:lineRule="auto"/>
        <w:ind w:left="1786" w:right="1134"/>
        <w:jc w:val="both"/>
        <w:rPr>
          <w:rFonts w:ascii="David" w:hAnsi="David" w:cs="David"/>
          <w:b/>
          <w:bCs/>
          <w:spacing w:val="6"/>
          <w:sz w:val="24"/>
          <w:szCs w:val="24"/>
          <w:rtl/>
        </w:rPr>
      </w:pPr>
    </w:p>
    <w:p w:rsidR="00917435" w:rsidRDefault="00917435" w:rsidP="00DF1547">
      <w:pPr>
        <w:pStyle w:val="ad"/>
        <w:numPr>
          <w:ilvl w:val="0"/>
          <w:numId w:val="1"/>
        </w:numPr>
        <w:spacing w:line="480" w:lineRule="auto"/>
        <w:jc w:val="both"/>
        <w:rPr>
          <w:rFonts w:ascii="David" w:hAnsi="David" w:cs="David"/>
          <w:spacing w:val="6"/>
          <w:sz w:val="24"/>
          <w:szCs w:val="24"/>
          <w:rtl/>
        </w:rPr>
      </w:pPr>
      <w:r>
        <w:rPr>
          <w:rFonts w:ascii="David" w:hAnsi="David" w:cs="David"/>
          <w:spacing w:val="6"/>
          <w:sz w:val="24"/>
          <w:szCs w:val="24"/>
          <w:rtl/>
        </w:rPr>
        <w:t xml:space="preserve">באשר לעיתוי ההכרעה בטענת התיישנות התביעה, הנטייה היא להכריע בה בשלב מקדמי של ההליך, ככל שאין צורך בבירור עובדתי או שהבירור העובדתי הנדרש לצורך הכרעה בטענת ההתיישנות הינו ברור קצר וייחודי. במקרה </w:t>
      </w:r>
      <w:r w:rsidR="00DF1547">
        <w:rPr>
          <w:rFonts w:ascii="David" w:hAnsi="David" w:cs="David" w:hint="cs"/>
          <w:spacing w:val="6"/>
          <w:sz w:val="24"/>
          <w:szCs w:val="24"/>
          <w:rtl/>
        </w:rPr>
        <w:t xml:space="preserve">כזה </w:t>
      </w:r>
      <w:r>
        <w:rPr>
          <w:rFonts w:ascii="David" w:hAnsi="David" w:cs="David"/>
          <w:spacing w:val="6"/>
          <w:sz w:val="24"/>
          <w:szCs w:val="24"/>
          <w:rtl/>
        </w:rPr>
        <w:t xml:space="preserve">רצוי לפצל את הדיון על מנת למנוע התדיינויות ארוכות ומיותרות. יש לזכור שלא תמיד ניתן להכריע בכל הטענות בטרם בחינת הראיות. בהקשר זה נפסק לא מכבר ב-ע"א 4627/22 </w:t>
      </w:r>
      <w:r>
        <w:rPr>
          <w:rFonts w:ascii="David" w:hAnsi="David" w:cs="David"/>
          <w:b/>
          <w:bCs/>
          <w:spacing w:val="6"/>
          <w:sz w:val="24"/>
          <w:szCs w:val="24"/>
          <w:rtl/>
        </w:rPr>
        <w:t>מפרקי חברת אגרקסקו, חברה לייצוא חקלאי בע"מ (בפירוק) ורו"ח ד"ר שלמה נס ורו"ח אלי שפלר נ' קוסט פורר גבאי את קסירר (שותפות רשומה)</w:t>
      </w:r>
      <w:r>
        <w:rPr>
          <w:rFonts w:ascii="David" w:hAnsi="David" w:cs="David"/>
          <w:spacing w:val="6"/>
          <w:sz w:val="24"/>
          <w:szCs w:val="24"/>
          <w:rtl/>
        </w:rPr>
        <w:t>, בפסקה 40 (‏7.6.2023) (להלן: "</w:t>
      </w:r>
      <w:r>
        <w:rPr>
          <w:rFonts w:ascii="David" w:hAnsi="David" w:cs="David"/>
          <w:b/>
          <w:bCs/>
          <w:spacing w:val="6"/>
          <w:sz w:val="24"/>
          <w:szCs w:val="24"/>
          <w:rtl/>
        </w:rPr>
        <w:t>ענין אגרקסקו</w:t>
      </w:r>
      <w:r>
        <w:rPr>
          <w:rFonts w:ascii="David" w:hAnsi="David" w:cs="David"/>
          <w:spacing w:val="6"/>
          <w:sz w:val="24"/>
          <w:szCs w:val="24"/>
          <w:rtl/>
        </w:rPr>
        <w:t>"):</w:t>
      </w:r>
    </w:p>
    <w:p w:rsidR="00917435" w:rsidRDefault="00917435" w:rsidP="00917435">
      <w:pPr>
        <w:pStyle w:val="ad"/>
        <w:spacing w:line="360" w:lineRule="auto"/>
        <w:ind w:left="1786" w:right="1134"/>
        <w:jc w:val="both"/>
        <w:rPr>
          <w:rFonts w:ascii="David" w:hAnsi="David" w:cs="David"/>
          <w:b/>
          <w:bCs/>
          <w:spacing w:val="6"/>
          <w:sz w:val="24"/>
          <w:szCs w:val="24"/>
        </w:rPr>
      </w:pPr>
      <w:r>
        <w:rPr>
          <w:rFonts w:ascii="David" w:hAnsi="David" w:cs="David"/>
          <w:b/>
          <w:bCs/>
          <w:spacing w:val="6"/>
          <w:sz w:val="24"/>
          <w:szCs w:val="24"/>
          <w:rtl/>
        </w:rPr>
        <w:lastRenderedPageBreak/>
        <w:t>"במקרים כאלה, בהם הדיון בטענת הסף איננו מחייב בירור עובדתי כלל, הדרך היעילה לניהול הדיון היא כי הערכאה הדיונית תבחן את טענת הסילוק עוד בטרם הדיון בתביעה לגופה.</w:t>
      </w:r>
    </w:p>
    <w:p w:rsidR="00917435" w:rsidRDefault="00917435" w:rsidP="00917435">
      <w:pPr>
        <w:pStyle w:val="ad"/>
        <w:spacing w:line="360" w:lineRule="auto"/>
        <w:ind w:left="1786" w:right="1134"/>
        <w:jc w:val="both"/>
        <w:rPr>
          <w:rFonts w:ascii="David" w:hAnsi="David" w:cs="David"/>
          <w:b/>
          <w:bCs/>
          <w:spacing w:val="6"/>
          <w:sz w:val="24"/>
          <w:szCs w:val="24"/>
          <w:rtl/>
        </w:rPr>
      </w:pPr>
      <w:r>
        <w:rPr>
          <w:rFonts w:ascii="David" w:hAnsi="David" w:cs="David"/>
          <w:b/>
          <w:bCs/>
          <w:spacing w:val="6"/>
          <w:sz w:val="24"/>
          <w:szCs w:val="24"/>
          <w:rtl/>
        </w:rPr>
        <w:t>ברוח זו גם נפסק ב-רע"א 6552/20 בנק דיסקונט לישראל בע"מ נ' א.לוי השקעות ובניין בע"מ, בפסקה 14 (‏2.12.2020)..."</w:t>
      </w:r>
    </w:p>
    <w:p w:rsidR="00917435" w:rsidRDefault="00917435" w:rsidP="00917435">
      <w:pPr>
        <w:pStyle w:val="ad"/>
        <w:spacing w:line="360" w:lineRule="auto"/>
        <w:ind w:left="1786" w:right="1134"/>
        <w:jc w:val="both"/>
        <w:rPr>
          <w:rFonts w:ascii="David" w:hAnsi="David" w:cs="David"/>
          <w:b/>
          <w:bCs/>
          <w:spacing w:val="6"/>
          <w:sz w:val="24"/>
          <w:szCs w:val="24"/>
          <w:rtl/>
        </w:rPr>
      </w:pPr>
    </w:p>
    <w:p w:rsidR="00917435" w:rsidRDefault="00917435" w:rsidP="00917435">
      <w:pPr>
        <w:pStyle w:val="ad"/>
        <w:spacing w:line="480" w:lineRule="auto"/>
        <w:ind w:left="357"/>
        <w:jc w:val="both"/>
        <w:rPr>
          <w:rFonts w:ascii="David" w:hAnsi="David" w:cs="David"/>
          <w:spacing w:val="6"/>
          <w:sz w:val="24"/>
          <w:szCs w:val="24"/>
        </w:rPr>
      </w:pPr>
      <w:r>
        <w:rPr>
          <w:rFonts w:ascii="David" w:hAnsi="David" w:cs="David"/>
          <w:spacing w:val="6"/>
          <w:sz w:val="24"/>
          <w:szCs w:val="24"/>
          <w:rtl/>
        </w:rPr>
        <w:t>כן אובחנו ארבעה מצבים עיקריים ביחס לטענת ההתיישנות (שם, בפסקה 19):</w:t>
      </w:r>
    </w:p>
    <w:p w:rsidR="00917435" w:rsidRDefault="00917435" w:rsidP="00917435">
      <w:pPr>
        <w:pStyle w:val="ad"/>
        <w:spacing w:line="360" w:lineRule="auto"/>
        <w:ind w:left="1786" w:right="1134"/>
        <w:jc w:val="both"/>
        <w:rPr>
          <w:rFonts w:ascii="David" w:hAnsi="David" w:cs="David"/>
          <w:b/>
          <w:bCs/>
          <w:spacing w:val="6"/>
          <w:sz w:val="24"/>
          <w:szCs w:val="24"/>
          <w:rtl/>
        </w:rPr>
      </w:pPr>
      <w:r>
        <w:rPr>
          <w:rFonts w:ascii="David" w:hAnsi="David" w:cs="David"/>
          <w:b/>
          <w:bCs/>
          <w:spacing w:val="6"/>
          <w:sz w:val="24"/>
          <w:szCs w:val="24"/>
          <w:rtl/>
        </w:rPr>
        <w:t xml:space="preserve">"לשם הבהירות ויישום פשוט של העקרונות האמורים, אציע להבחין בין ארבעה מצבים עיקריים בהם נטענת טענת התיישנות: </w:t>
      </w:r>
    </w:p>
    <w:p w:rsidR="00917435" w:rsidRDefault="00917435" w:rsidP="00917435">
      <w:pPr>
        <w:pStyle w:val="ad"/>
        <w:spacing w:line="360" w:lineRule="auto"/>
        <w:ind w:left="1786" w:right="1134"/>
        <w:jc w:val="both"/>
        <w:rPr>
          <w:rFonts w:ascii="David" w:hAnsi="David" w:cs="David"/>
          <w:b/>
          <w:bCs/>
          <w:spacing w:val="6"/>
          <w:sz w:val="24"/>
          <w:szCs w:val="24"/>
          <w:rtl/>
        </w:rPr>
      </w:pPr>
      <w:r>
        <w:rPr>
          <w:rFonts w:ascii="David" w:hAnsi="David" w:cs="David"/>
          <w:b/>
          <w:bCs/>
          <w:spacing w:val="6"/>
          <w:sz w:val="24"/>
          <w:szCs w:val="24"/>
          <w:rtl/>
        </w:rPr>
        <w:t xml:space="preserve">(א) מצב בו בירור טענת התיישנות אינו מצריך שום בירור עובדתי; </w:t>
      </w:r>
    </w:p>
    <w:p w:rsidR="00917435" w:rsidRDefault="00917435" w:rsidP="00917435">
      <w:pPr>
        <w:pStyle w:val="ad"/>
        <w:spacing w:line="360" w:lineRule="auto"/>
        <w:ind w:left="1786" w:right="1134"/>
        <w:jc w:val="both"/>
        <w:rPr>
          <w:rFonts w:ascii="David" w:hAnsi="David" w:cs="David"/>
          <w:b/>
          <w:bCs/>
          <w:spacing w:val="6"/>
          <w:sz w:val="24"/>
          <w:szCs w:val="24"/>
          <w:rtl/>
        </w:rPr>
      </w:pPr>
      <w:r>
        <w:rPr>
          <w:rFonts w:ascii="David" w:hAnsi="David" w:cs="David"/>
          <w:b/>
          <w:bCs/>
          <w:spacing w:val="6"/>
          <w:sz w:val="24"/>
          <w:szCs w:val="24"/>
          <w:rtl/>
        </w:rPr>
        <w:t xml:space="preserve">(ב) מצב בו נדרש בירור עובדתי ייחודי; </w:t>
      </w:r>
    </w:p>
    <w:p w:rsidR="00917435" w:rsidRDefault="00917435" w:rsidP="00917435">
      <w:pPr>
        <w:pStyle w:val="ad"/>
        <w:spacing w:line="360" w:lineRule="auto"/>
        <w:ind w:left="1786" w:right="1134"/>
        <w:jc w:val="both"/>
        <w:rPr>
          <w:rFonts w:ascii="David" w:hAnsi="David" w:cs="David"/>
          <w:b/>
          <w:bCs/>
          <w:spacing w:val="6"/>
          <w:sz w:val="24"/>
          <w:szCs w:val="24"/>
          <w:rtl/>
        </w:rPr>
      </w:pPr>
      <w:r>
        <w:rPr>
          <w:rFonts w:ascii="David" w:hAnsi="David" w:cs="David"/>
          <w:b/>
          <w:bCs/>
          <w:spacing w:val="6"/>
          <w:sz w:val="24"/>
          <w:szCs w:val="24"/>
          <w:rtl/>
        </w:rPr>
        <w:t xml:space="preserve">(ג) מצב בו נדרש בירור עובדתי חופף; </w:t>
      </w:r>
    </w:p>
    <w:p w:rsidR="00917435" w:rsidRDefault="00917435" w:rsidP="00917435">
      <w:pPr>
        <w:pStyle w:val="ad"/>
        <w:spacing w:line="360" w:lineRule="auto"/>
        <w:ind w:left="1786" w:right="1134"/>
        <w:jc w:val="both"/>
        <w:rPr>
          <w:rFonts w:ascii="David" w:hAnsi="David" w:cs="David"/>
          <w:b/>
          <w:bCs/>
          <w:spacing w:val="6"/>
          <w:sz w:val="24"/>
          <w:szCs w:val="24"/>
          <w:rtl/>
        </w:rPr>
      </w:pPr>
      <w:r>
        <w:rPr>
          <w:rFonts w:ascii="David" w:hAnsi="David" w:cs="David"/>
          <w:b/>
          <w:bCs/>
          <w:spacing w:val="6"/>
          <w:sz w:val="24"/>
          <w:szCs w:val="24"/>
          <w:rtl/>
        </w:rPr>
        <w:t>(ד) מצב בו הבירור העובדתי של התביעה לגופה עשוי להקרין על בירור שאלת ההתיישנות, אך אין וודאות בנדון (להלן: חפיפה פוטנציאלית)."</w:t>
      </w:r>
    </w:p>
    <w:p w:rsidR="00917435" w:rsidRDefault="00917435" w:rsidP="00917435">
      <w:pPr>
        <w:spacing w:line="480" w:lineRule="auto"/>
        <w:jc w:val="both"/>
        <w:rPr>
          <w:rFonts w:ascii="David" w:hAnsi="David"/>
          <w:b/>
          <w:bCs/>
          <w:spacing w:val="6"/>
          <w:rtl/>
        </w:rPr>
      </w:pPr>
    </w:p>
    <w:p w:rsidR="00917435" w:rsidRDefault="00917435" w:rsidP="00560240">
      <w:pPr>
        <w:spacing w:after="160" w:line="480" w:lineRule="auto"/>
        <w:jc w:val="both"/>
        <w:rPr>
          <w:rFonts w:ascii="David" w:hAnsi="David"/>
          <w:spacing w:val="6"/>
          <w:rtl/>
        </w:rPr>
      </w:pPr>
      <w:r>
        <w:rPr>
          <w:rFonts w:ascii="David" w:hAnsi="David"/>
          <w:b/>
          <w:bCs/>
          <w:spacing w:val="6"/>
          <w:rtl/>
        </w:rPr>
        <w:t>טענת ההתיישנות</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ככלל, תקופת התיישנותה של תביעה שאינה במקרקעין הינה 7 שנים והיא מתחילה ביום שבו נולדה עילת התביעה (סעיף 6-5 לחוק ההתיישנות, תשי"ח-1958 (להלן: "</w:t>
      </w:r>
      <w:r>
        <w:rPr>
          <w:rFonts w:ascii="David" w:hAnsi="David" w:cs="David"/>
          <w:b/>
          <w:bCs/>
          <w:spacing w:val="6"/>
          <w:sz w:val="24"/>
          <w:szCs w:val="24"/>
          <w:rtl/>
        </w:rPr>
        <w:t>חוק ההתיישנות</w:t>
      </w:r>
      <w:r>
        <w:rPr>
          <w:rFonts w:ascii="David" w:hAnsi="David" w:cs="David"/>
          <w:spacing w:val="6"/>
          <w:sz w:val="24"/>
          <w:szCs w:val="24"/>
          <w:rtl/>
        </w:rPr>
        <w:t>")), ובענייננו, מיום הגעת התובע לגיל 18. סעיף 8 לחוק ההתיישנות, הידוע בכינוי "כלל הגילוי", קובע במסגרת חריג לכלל ההתיישנות, כי:</w:t>
      </w:r>
    </w:p>
    <w:tbl>
      <w:tblPr>
        <w:tblStyle w:val="a9"/>
        <w:bidiVisual/>
        <w:tblW w:w="0" w:type="auto"/>
        <w:tblInd w:w="3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8"/>
        <w:gridCol w:w="428"/>
        <w:gridCol w:w="6230"/>
      </w:tblGrid>
      <w:tr w:rsidR="00917435" w:rsidTr="00917435">
        <w:tc>
          <w:tcPr>
            <w:tcW w:w="1278" w:type="dxa"/>
            <w:tcBorders>
              <w:top w:val="dotted" w:sz="4" w:space="0" w:color="auto"/>
              <w:left w:val="dotted" w:sz="4" w:space="0" w:color="auto"/>
              <w:bottom w:val="dotted" w:sz="4" w:space="0" w:color="auto"/>
              <w:right w:val="dotted" w:sz="4" w:space="0" w:color="auto"/>
            </w:tcBorders>
          </w:tcPr>
          <w:p w:rsidR="00917435" w:rsidRDefault="00917435">
            <w:pPr>
              <w:spacing w:line="249" w:lineRule="auto"/>
              <w:rPr>
                <w:rFonts w:asciiTheme="minorHAnsi" w:hAnsiTheme="minorHAnsi" w:cstheme="minorBidi"/>
                <w:spacing w:val="6"/>
                <w:sz w:val="22"/>
                <w:szCs w:val="22"/>
              </w:rPr>
            </w:pPr>
            <w:r>
              <w:rPr>
                <w:rFonts w:cs="Miriam"/>
                <w:spacing w:val="6"/>
                <w:rtl/>
              </w:rPr>
              <w:t>התיישנות שלא מדעת</w:t>
            </w:r>
          </w:p>
          <w:p w:rsidR="00917435" w:rsidRDefault="00917435">
            <w:pPr>
              <w:pStyle w:val="ad"/>
              <w:spacing w:after="0" w:line="480" w:lineRule="auto"/>
              <w:ind w:left="360"/>
              <w:jc w:val="both"/>
              <w:rPr>
                <w:rFonts w:ascii="David" w:hAnsi="David" w:cs="David"/>
                <w:spacing w:val="6"/>
                <w:sz w:val="24"/>
                <w:szCs w:val="24"/>
              </w:rPr>
            </w:pPr>
          </w:p>
        </w:tc>
        <w:tc>
          <w:tcPr>
            <w:tcW w:w="428" w:type="dxa"/>
            <w:tcBorders>
              <w:top w:val="dotted" w:sz="4" w:space="0" w:color="auto"/>
              <w:left w:val="dotted" w:sz="4" w:space="0" w:color="auto"/>
              <w:bottom w:val="dotted" w:sz="4" w:space="0" w:color="auto"/>
              <w:right w:val="nil"/>
            </w:tcBorders>
            <w:hideMark/>
          </w:tcPr>
          <w:p w:rsidR="00917435" w:rsidRDefault="00917435">
            <w:pPr>
              <w:pStyle w:val="ad"/>
              <w:spacing w:after="0" w:line="240" w:lineRule="auto"/>
              <w:ind w:left="0"/>
              <w:jc w:val="both"/>
              <w:rPr>
                <w:rFonts w:ascii="David" w:hAnsi="David" w:cs="David"/>
                <w:b/>
                <w:bCs/>
                <w:spacing w:val="6"/>
                <w:sz w:val="24"/>
                <w:szCs w:val="24"/>
                <w:rtl/>
              </w:rPr>
            </w:pPr>
            <w:r>
              <w:rPr>
                <w:rFonts w:ascii="David" w:hAnsi="David" w:cs="David"/>
                <w:b/>
                <w:bCs/>
                <w:spacing w:val="6"/>
                <w:sz w:val="24"/>
                <w:szCs w:val="24"/>
                <w:rtl/>
              </w:rPr>
              <w:t>8.</w:t>
            </w:r>
          </w:p>
        </w:tc>
        <w:tc>
          <w:tcPr>
            <w:tcW w:w="6230" w:type="dxa"/>
            <w:tcBorders>
              <w:top w:val="dotted" w:sz="4" w:space="0" w:color="auto"/>
              <w:left w:val="nil"/>
              <w:bottom w:val="dotted" w:sz="4" w:space="0" w:color="auto"/>
              <w:right w:val="dotted" w:sz="4" w:space="0" w:color="auto"/>
            </w:tcBorders>
            <w:hideMark/>
          </w:tcPr>
          <w:p w:rsidR="00917435" w:rsidRDefault="00917435">
            <w:pPr>
              <w:pStyle w:val="ad"/>
              <w:spacing w:after="0" w:line="240" w:lineRule="auto"/>
              <w:ind w:left="0"/>
              <w:jc w:val="both"/>
              <w:rPr>
                <w:rFonts w:ascii="David" w:hAnsi="David" w:cs="David"/>
                <w:b/>
                <w:bCs/>
                <w:spacing w:val="6"/>
                <w:sz w:val="24"/>
                <w:szCs w:val="24"/>
                <w:rtl/>
              </w:rPr>
            </w:pPr>
            <w:r>
              <w:rPr>
                <w:rFonts w:ascii="David" w:hAnsi="David" w:cs="David"/>
                <w:b/>
                <w:bCs/>
                <w:spacing w:val="6"/>
                <w:sz w:val="24"/>
                <w:szCs w:val="24"/>
                <w:rtl/>
              </w:rPr>
              <w:t>נעלמו מן התובע העובדות המהוות את עילת התובענה, מסיבות שלא היו תלויות בו ושאף בזהירות סבירה לא יכול היה למנוע אותן, תתחיל תקופת ההתיישנות ביום שבו נודעו לתובע עובדות אלה.</w:t>
            </w:r>
          </w:p>
        </w:tc>
      </w:tr>
    </w:tbl>
    <w:p w:rsidR="00917435" w:rsidRDefault="00917435" w:rsidP="00917435">
      <w:pPr>
        <w:spacing w:line="480" w:lineRule="auto"/>
        <w:jc w:val="both"/>
        <w:rPr>
          <w:rFonts w:ascii="David" w:hAnsi="David"/>
          <w:spacing w:val="6"/>
          <w:highlight w:val="yellow"/>
          <w:rtl/>
        </w:rPr>
      </w:pPr>
    </w:p>
    <w:p w:rsidR="00917435" w:rsidRDefault="00917435" w:rsidP="00917435">
      <w:pPr>
        <w:pStyle w:val="ad"/>
        <w:numPr>
          <w:ilvl w:val="0"/>
          <w:numId w:val="1"/>
        </w:numPr>
        <w:spacing w:line="480" w:lineRule="auto"/>
        <w:jc w:val="both"/>
        <w:rPr>
          <w:rFonts w:ascii="David" w:hAnsi="David" w:cs="David"/>
          <w:spacing w:val="6"/>
          <w:sz w:val="24"/>
          <w:szCs w:val="24"/>
          <w:rtl/>
        </w:rPr>
      </w:pPr>
      <w:r>
        <w:rPr>
          <w:rFonts w:ascii="David" w:hAnsi="David" w:cs="David"/>
          <w:spacing w:val="6"/>
          <w:sz w:val="24"/>
          <w:szCs w:val="24"/>
          <w:rtl/>
        </w:rPr>
        <w:lastRenderedPageBreak/>
        <w:t>משך השעיית מרוץ ההתיישנות על פי כלל הגילוי הקבוע בסעיף 8 לחוק ההתיישנות אינו מוגבל בזמן. כאשר מדובר בתובענה לסעד בגין עוולה, קיים הסדר מיוחד המעוגן בסעיף 89 לפקודת הנזיקין [נוסח חדש] (להלן: "</w:t>
      </w:r>
      <w:r>
        <w:rPr>
          <w:rFonts w:ascii="David" w:hAnsi="David" w:cs="David"/>
          <w:b/>
          <w:bCs/>
          <w:spacing w:val="6"/>
          <w:sz w:val="24"/>
          <w:szCs w:val="24"/>
          <w:rtl/>
        </w:rPr>
        <w:t>פקודת הנזיקין</w:t>
      </w:r>
      <w:r>
        <w:rPr>
          <w:rFonts w:ascii="David" w:hAnsi="David" w:cs="David"/>
          <w:spacing w:val="6"/>
          <w:sz w:val="24"/>
          <w:szCs w:val="24"/>
          <w:rtl/>
        </w:rPr>
        <w:t>"), הקובע כי:</w:t>
      </w:r>
    </w:p>
    <w:tbl>
      <w:tblPr>
        <w:tblStyle w:val="a9"/>
        <w:bidiVisual/>
        <w:tblW w:w="0" w:type="auto"/>
        <w:tblInd w:w="3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5"/>
        <w:gridCol w:w="514"/>
        <w:gridCol w:w="6165"/>
      </w:tblGrid>
      <w:tr w:rsidR="00917435" w:rsidTr="00917435">
        <w:tc>
          <w:tcPr>
            <w:tcW w:w="1275" w:type="dxa"/>
            <w:tcBorders>
              <w:top w:val="dotted" w:sz="4" w:space="0" w:color="auto"/>
              <w:left w:val="dotted" w:sz="4" w:space="0" w:color="auto"/>
              <w:bottom w:val="dotted" w:sz="4" w:space="0" w:color="auto"/>
              <w:right w:val="dotted" w:sz="4" w:space="0" w:color="auto"/>
            </w:tcBorders>
          </w:tcPr>
          <w:p w:rsidR="00917435" w:rsidRDefault="00917435">
            <w:pPr>
              <w:spacing w:line="249" w:lineRule="auto"/>
              <w:rPr>
                <w:rFonts w:asciiTheme="minorHAnsi" w:hAnsiTheme="minorHAnsi" w:cstheme="minorBidi"/>
                <w:spacing w:val="6"/>
                <w:sz w:val="22"/>
                <w:szCs w:val="22"/>
              </w:rPr>
            </w:pPr>
            <w:r>
              <w:rPr>
                <w:rFonts w:cs="Miriam"/>
                <w:spacing w:val="6"/>
                <w:rtl/>
              </w:rPr>
              <w:t>תחילת התיישנות</w:t>
            </w:r>
          </w:p>
          <w:p w:rsidR="00917435" w:rsidRDefault="00917435">
            <w:pPr>
              <w:pStyle w:val="ad"/>
              <w:spacing w:after="0" w:line="480" w:lineRule="auto"/>
              <w:ind w:left="360"/>
              <w:jc w:val="both"/>
              <w:rPr>
                <w:rFonts w:ascii="David" w:hAnsi="David" w:cs="David"/>
                <w:spacing w:val="6"/>
                <w:sz w:val="24"/>
                <w:szCs w:val="24"/>
              </w:rPr>
            </w:pPr>
          </w:p>
        </w:tc>
        <w:tc>
          <w:tcPr>
            <w:tcW w:w="496" w:type="dxa"/>
            <w:tcBorders>
              <w:top w:val="dotted" w:sz="4" w:space="0" w:color="auto"/>
              <w:left w:val="dotted" w:sz="4" w:space="0" w:color="auto"/>
              <w:bottom w:val="dotted" w:sz="4" w:space="0" w:color="auto"/>
              <w:right w:val="dotted" w:sz="4" w:space="0" w:color="auto"/>
            </w:tcBorders>
            <w:hideMark/>
          </w:tcPr>
          <w:p w:rsidR="00917435" w:rsidRDefault="00917435">
            <w:pPr>
              <w:pStyle w:val="ad"/>
              <w:spacing w:after="0" w:line="240" w:lineRule="auto"/>
              <w:ind w:left="0"/>
              <w:jc w:val="both"/>
              <w:rPr>
                <w:rFonts w:ascii="David" w:hAnsi="David" w:cs="David"/>
                <w:b/>
                <w:bCs/>
                <w:spacing w:val="6"/>
                <w:sz w:val="24"/>
                <w:szCs w:val="24"/>
                <w:rtl/>
              </w:rPr>
            </w:pPr>
            <w:r>
              <w:rPr>
                <w:rFonts w:ascii="David" w:hAnsi="David" w:cs="David"/>
                <w:b/>
                <w:bCs/>
                <w:spacing w:val="6"/>
                <w:sz w:val="24"/>
                <w:szCs w:val="24"/>
                <w:rtl/>
              </w:rPr>
              <w:t>89.</w:t>
            </w:r>
          </w:p>
        </w:tc>
        <w:tc>
          <w:tcPr>
            <w:tcW w:w="6165" w:type="dxa"/>
            <w:tcBorders>
              <w:top w:val="dotted" w:sz="4" w:space="0" w:color="auto"/>
              <w:left w:val="dotted" w:sz="4" w:space="0" w:color="auto"/>
              <w:bottom w:val="dotted" w:sz="4" w:space="0" w:color="auto"/>
              <w:right w:val="dotted" w:sz="4" w:space="0" w:color="auto"/>
            </w:tcBorders>
            <w:hideMark/>
          </w:tcPr>
          <w:p w:rsidR="00917435" w:rsidRDefault="00917435">
            <w:pPr>
              <w:rPr>
                <w:rFonts w:ascii="David" w:hAnsi="David"/>
                <w:b/>
                <w:bCs/>
                <w:spacing w:val="6"/>
                <w:rtl/>
              </w:rPr>
            </w:pPr>
            <w:r>
              <w:rPr>
                <w:rFonts w:ascii="David" w:hAnsi="David"/>
                <w:b/>
                <w:bCs/>
                <w:spacing w:val="6"/>
                <w:rtl/>
              </w:rPr>
              <w:t>לענין תקופת התיישנות בתובענות על עוולות – "היום שנולדה עילת התובענה" הוא אחד מאלה:</w:t>
            </w:r>
          </w:p>
          <w:p w:rsidR="00917435" w:rsidRDefault="00917435">
            <w:pPr>
              <w:rPr>
                <w:rFonts w:ascii="David" w:hAnsi="David"/>
                <w:b/>
                <w:bCs/>
                <w:spacing w:val="6"/>
                <w:rtl/>
              </w:rPr>
            </w:pPr>
            <w:r>
              <w:rPr>
                <w:rFonts w:ascii="David" w:hAnsi="David"/>
                <w:b/>
                <w:bCs/>
                <w:spacing w:val="6"/>
                <w:rtl/>
              </w:rPr>
              <w:t>(1) מקום שעילת התובענה היא מעשה או מחדל – היום שבו אירע אותו מעשה או מחדל; היה המעשה או המחדל נמשך והולך – היום שבו חדל;</w:t>
            </w:r>
          </w:p>
          <w:p w:rsidR="00917435" w:rsidRDefault="00917435">
            <w:pPr>
              <w:pStyle w:val="ad"/>
              <w:spacing w:after="0" w:line="240" w:lineRule="auto"/>
              <w:ind w:left="0"/>
              <w:jc w:val="both"/>
              <w:rPr>
                <w:rFonts w:ascii="David" w:hAnsi="David" w:cs="David"/>
                <w:b/>
                <w:bCs/>
                <w:spacing w:val="6"/>
                <w:sz w:val="24"/>
                <w:szCs w:val="24"/>
                <w:rtl/>
              </w:rPr>
            </w:pPr>
            <w:r>
              <w:rPr>
                <w:rFonts w:ascii="David" w:hAnsi="David" w:cs="David"/>
                <w:b/>
                <w:bCs/>
                <w:spacing w:val="6"/>
                <w:sz w:val="24"/>
                <w:szCs w:val="24"/>
                <w:rtl/>
              </w:rPr>
              <w:t>(2) מקום שעילת התובענה היא נזק שנגרם על ידי מעשה או מחדל – היום שבו אירע אותו נזק; לא נתגלה הנזק ביום שאירע – היום שבו נתגלה הנזק, אלא שבמקרה אחרון זה תתיישן התובענה אם לא הוגשה תוך עשר שנים מיום אירוע הנזק.</w:t>
            </w:r>
          </w:p>
        </w:tc>
      </w:tr>
    </w:tbl>
    <w:p w:rsidR="00917435" w:rsidRDefault="00917435" w:rsidP="00917435">
      <w:pPr>
        <w:spacing w:line="480" w:lineRule="auto"/>
        <w:jc w:val="both"/>
        <w:rPr>
          <w:rFonts w:ascii="David" w:hAnsi="David"/>
          <w:spacing w:val="6"/>
          <w:rtl/>
        </w:rPr>
      </w:pPr>
    </w:p>
    <w:p w:rsidR="00917435" w:rsidRDefault="00917435" w:rsidP="00917435">
      <w:pPr>
        <w:pStyle w:val="ad"/>
        <w:spacing w:line="480" w:lineRule="auto"/>
        <w:ind w:left="360"/>
        <w:jc w:val="both"/>
        <w:rPr>
          <w:rFonts w:ascii="David" w:hAnsi="David" w:cs="David"/>
          <w:spacing w:val="6"/>
          <w:sz w:val="24"/>
          <w:szCs w:val="24"/>
          <w:rtl/>
        </w:rPr>
      </w:pPr>
      <w:r>
        <w:rPr>
          <w:rFonts w:ascii="David" w:hAnsi="David" w:cs="David"/>
          <w:spacing w:val="6"/>
          <w:sz w:val="24"/>
          <w:szCs w:val="24"/>
          <w:rtl/>
        </w:rPr>
        <w:t xml:space="preserve">עוולת הרשלנות הרפואית באה בגדרו של סעיף 89(2) לפקודת הנזיקין, כאשר מרוץ ההתיישנות יפתח במועד אירוע הנזק אולם אם הנזק לא נתגלה במועד האירוע, יושעה מרוץ ההתיישנות עד לגילויו ובלבד שהתביעה תתיישן בחלוף מחסום סופי של 10 שנים מהמעשה או המחדל שגרם לו. מדובר בכלל גילוי מיוחד שתכליתו להושיט עזרה לתובע כאשר נגרם לו נזק סמוי המתגלה בחלוף הזמן. על יתר יסודות העוולה יחול כלל הגילוי "הרגיל" הקבוע בסעיף 8 לחוק ההתיישנות. אם אחת העובדות החיוניות, שאינה הנזק, נעלמה מעיני התובע – יושעה מרוץ ההתיישנות ללא הגבלה, אולם כאשר העובדות החיוניות לא נעלמו מעיני התובע, אזי תתיישן התביעה בתוך אותן 7 שנים ואין בתקופת 10 השנים להעלות או להוריד (ראו: טל חבקין </w:t>
      </w:r>
      <w:r>
        <w:rPr>
          <w:rFonts w:ascii="David" w:hAnsi="David" w:cs="David"/>
          <w:b/>
          <w:bCs/>
          <w:spacing w:val="6"/>
          <w:sz w:val="24"/>
          <w:szCs w:val="24"/>
          <w:rtl/>
        </w:rPr>
        <w:t>התיישנות</w:t>
      </w:r>
      <w:r>
        <w:rPr>
          <w:rFonts w:ascii="David" w:hAnsi="David" w:cs="David"/>
          <w:spacing w:val="6"/>
          <w:sz w:val="24"/>
          <w:szCs w:val="24"/>
          <w:rtl/>
        </w:rPr>
        <w:t xml:space="preserve"> 452 (מהדורה שנייה, 2021)). בכל מקרה, הסדר הגילוי הנזיקי המיוחד מטיל מגבלה על משך השעיית מרוץ ההתיישנות במקרה של אי גילוי הנזק בכך שתקופת ההתיישנות תוארך לכל היותר ב-3 שנים (ישראל גלעד </w:t>
      </w:r>
      <w:r>
        <w:rPr>
          <w:rFonts w:ascii="David" w:hAnsi="David" w:cs="David"/>
          <w:b/>
          <w:bCs/>
          <w:spacing w:val="6"/>
          <w:sz w:val="24"/>
          <w:szCs w:val="24"/>
          <w:rtl/>
        </w:rPr>
        <w:t>התיישנות בדין האזרחי</w:t>
      </w:r>
      <w:r>
        <w:rPr>
          <w:rFonts w:ascii="David" w:hAnsi="David" w:cs="David"/>
          <w:spacing w:val="6"/>
          <w:sz w:val="24"/>
          <w:szCs w:val="24"/>
          <w:rtl/>
        </w:rPr>
        <w:t xml:space="preserve"> 285 (2022)). יובהר שלא רק גילוי הנזק עשוי להשעות את מרוץ ההתיישנות אלא כל גילוי מאוחר של יסוד מיסודות העוולה. כך למשל, גילוי מאוחר של הזיקה הסיבתית עשוי לחתוך את גורל טענת ההתיישנות (ע"א 4114/96 </w:t>
      </w:r>
      <w:r>
        <w:rPr>
          <w:rFonts w:ascii="David" w:hAnsi="David" w:cs="David"/>
          <w:b/>
          <w:bCs/>
          <w:spacing w:val="6"/>
          <w:sz w:val="24"/>
          <w:szCs w:val="24"/>
          <w:rtl/>
        </w:rPr>
        <w:t>המאירי נ' הכשרת הישוב חברה לביטוח בע"מ</w:t>
      </w:r>
      <w:r>
        <w:rPr>
          <w:rFonts w:ascii="David" w:hAnsi="David" w:cs="David"/>
          <w:spacing w:val="6"/>
          <w:sz w:val="24"/>
          <w:szCs w:val="24"/>
          <w:rtl/>
        </w:rPr>
        <w:t>, בפסקה 14 (19.4.98)).</w:t>
      </w:r>
    </w:p>
    <w:p w:rsidR="00917435" w:rsidRDefault="00917435" w:rsidP="00917435">
      <w:pPr>
        <w:pStyle w:val="ad"/>
        <w:spacing w:line="480" w:lineRule="auto"/>
        <w:ind w:left="357"/>
        <w:jc w:val="both"/>
        <w:rPr>
          <w:rFonts w:ascii="David" w:hAnsi="David" w:cs="David"/>
          <w:spacing w:val="6"/>
          <w:sz w:val="24"/>
          <w:szCs w:val="24"/>
          <w:rtl/>
        </w:rPr>
      </w:pPr>
      <w:r>
        <w:rPr>
          <w:rFonts w:ascii="David" w:hAnsi="David" w:cs="David"/>
          <w:spacing w:val="6"/>
          <w:sz w:val="24"/>
          <w:szCs w:val="24"/>
          <w:rtl/>
        </w:rPr>
        <w:lastRenderedPageBreak/>
        <w:t xml:space="preserve">להבהרה נוספת של היחס בין כלל הגילוי הקבוע בסעיף 8 לחוק ההתיישנות וההסדר המיוחד המעוגן בסעיף 89(2) לפקודת הנזיקין, ראו את שנפסק ב-ע"א 10591/06 </w:t>
      </w:r>
      <w:r>
        <w:rPr>
          <w:rFonts w:ascii="David" w:hAnsi="David" w:cs="David"/>
          <w:b/>
          <w:bCs/>
          <w:spacing w:val="6"/>
          <w:sz w:val="24"/>
          <w:szCs w:val="24"/>
          <w:rtl/>
        </w:rPr>
        <w:t>רפאל יפרח נ' מפעלי תובלה בע"מ</w:t>
      </w:r>
      <w:r>
        <w:rPr>
          <w:rFonts w:ascii="David" w:hAnsi="David" w:cs="David"/>
          <w:spacing w:val="6"/>
          <w:sz w:val="24"/>
          <w:szCs w:val="24"/>
          <w:rtl/>
        </w:rPr>
        <w:t>, בפסקה 27-26 (‏12.07.10)):</w:t>
      </w:r>
    </w:p>
    <w:p w:rsidR="00917435" w:rsidRDefault="00917435" w:rsidP="00917435">
      <w:pPr>
        <w:pStyle w:val="ad"/>
        <w:spacing w:line="360" w:lineRule="auto"/>
        <w:ind w:left="1786" w:right="1134"/>
        <w:jc w:val="both"/>
        <w:rPr>
          <w:rFonts w:ascii="David" w:hAnsi="David" w:cs="David"/>
          <w:b/>
          <w:bCs/>
          <w:spacing w:val="6"/>
          <w:sz w:val="24"/>
          <w:szCs w:val="24"/>
        </w:rPr>
      </w:pPr>
      <w:r>
        <w:rPr>
          <w:rFonts w:ascii="David" w:hAnsi="David" w:cs="David"/>
          <w:b/>
          <w:bCs/>
          <w:spacing w:val="6"/>
          <w:sz w:val="24"/>
          <w:szCs w:val="24"/>
          <w:rtl/>
        </w:rPr>
        <w:t>"שאלת היחס בין סעיף 8 לסעיף 89(2) מורכבת יותר, מאחר ששתי הוראות אלה מעלות, לכאורה, כללי גילוי שונים המתחרים זה בזה: סעיף 8 קובע כלל גילוי כללי, לפיו מקום בו נעלמו מן התובע העובדות המהוות את עילת התובענה, תתחיל תקופת ההתיישנות ביום שבו נודעו לו עובדות אלה. סעיף 89(2), לעומת זאת, קובע כלל גילוי מיוחד לענין תובענות נזיקיות בגין עוולות שנזק הוא רכיב מרכיביהן, ולפיו מקום בו לא נתגלה לתובע הנזק ביום שאירע, תתחיל תקופת ההתיישנות ביום הגילוי, תוך שנקבעו גבולות זמן להגשת התובענה: 7 שנים מיום הגילוי, או 10 שנים מיום אירוע הנזק, לפי המוקדם מביניהם."</w:t>
      </w:r>
    </w:p>
    <w:p w:rsidR="00917435" w:rsidRDefault="00917435" w:rsidP="00917435">
      <w:pPr>
        <w:pStyle w:val="ad"/>
        <w:spacing w:line="360" w:lineRule="auto"/>
        <w:ind w:left="1786" w:right="1134"/>
        <w:jc w:val="both"/>
        <w:rPr>
          <w:rFonts w:ascii="David" w:hAnsi="David" w:cs="David"/>
          <w:b/>
          <w:bCs/>
          <w:spacing w:val="6"/>
          <w:sz w:val="24"/>
          <w:szCs w:val="24"/>
          <w:rtl/>
        </w:rPr>
      </w:pPr>
    </w:p>
    <w:p w:rsidR="00917435" w:rsidRDefault="00917435" w:rsidP="00917435">
      <w:pPr>
        <w:pStyle w:val="ad"/>
        <w:spacing w:line="360" w:lineRule="auto"/>
        <w:ind w:left="0" w:right="1134"/>
        <w:jc w:val="both"/>
        <w:rPr>
          <w:rFonts w:ascii="David" w:hAnsi="David" w:cs="David"/>
          <w:spacing w:val="6"/>
          <w:sz w:val="24"/>
          <w:szCs w:val="24"/>
          <w:rtl/>
        </w:rPr>
      </w:pPr>
      <w:r>
        <w:rPr>
          <w:rFonts w:ascii="David" w:hAnsi="David" w:cs="David"/>
          <w:spacing w:val="6"/>
          <w:sz w:val="24"/>
          <w:szCs w:val="24"/>
          <w:rtl/>
        </w:rPr>
        <w:t>ובהמשך:</w:t>
      </w:r>
    </w:p>
    <w:p w:rsidR="00917435" w:rsidRDefault="00917435" w:rsidP="00917435">
      <w:pPr>
        <w:pStyle w:val="ad"/>
        <w:spacing w:line="360" w:lineRule="auto"/>
        <w:ind w:left="1786" w:right="1134"/>
        <w:jc w:val="both"/>
        <w:rPr>
          <w:rFonts w:ascii="David" w:hAnsi="David" w:cs="David"/>
          <w:b/>
          <w:bCs/>
          <w:spacing w:val="6"/>
          <w:sz w:val="24"/>
          <w:szCs w:val="24"/>
          <w:rtl/>
        </w:rPr>
      </w:pPr>
      <w:r>
        <w:rPr>
          <w:rFonts w:ascii="David" w:hAnsi="David" w:cs="David"/>
          <w:b/>
          <w:bCs/>
          <w:spacing w:val="6"/>
          <w:sz w:val="24"/>
          <w:szCs w:val="24"/>
          <w:rtl/>
        </w:rPr>
        <w:t>"יוצא, אפוא, כי כלל הגילוי המאוחר הקבוע בסעיף 89(2) לפקודה מתייחס רק למקרה שבו רכיב הנזק נתגלה באיחור, ואילו כשמדובר בגילוי מאוחר של עובדות אחרות החיוניות להקמת עילת התביעה, יחול סעיף 8 לחוק."</w:t>
      </w:r>
    </w:p>
    <w:p w:rsidR="00917435" w:rsidRDefault="00917435" w:rsidP="00917435">
      <w:pPr>
        <w:contextualSpacing/>
        <w:jc w:val="both"/>
        <w:rPr>
          <w:rFonts w:ascii="David" w:hAnsi="David"/>
          <w:spacing w:val="6"/>
          <w:rtl/>
        </w:rPr>
      </w:pPr>
    </w:p>
    <w:p w:rsidR="00917435" w:rsidRDefault="00917435" w:rsidP="00917435">
      <w:pPr>
        <w:pStyle w:val="ad"/>
        <w:spacing w:line="480" w:lineRule="auto"/>
        <w:ind w:left="360"/>
        <w:jc w:val="both"/>
        <w:rPr>
          <w:rFonts w:ascii="David" w:hAnsi="David" w:cs="David"/>
          <w:spacing w:val="6"/>
          <w:sz w:val="24"/>
          <w:szCs w:val="24"/>
          <w:rtl/>
        </w:rPr>
      </w:pPr>
      <w:r>
        <w:rPr>
          <w:rFonts w:ascii="David" w:hAnsi="David" w:cs="David"/>
          <w:spacing w:val="6"/>
          <w:sz w:val="24"/>
          <w:szCs w:val="24"/>
          <w:rtl/>
        </w:rPr>
        <w:t xml:space="preserve">ור' גם: רע"א 6614/19 </w:t>
      </w:r>
      <w:r>
        <w:rPr>
          <w:rFonts w:ascii="David" w:hAnsi="David" w:cs="David"/>
          <w:b/>
          <w:bCs/>
          <w:spacing w:val="6"/>
          <w:sz w:val="24"/>
          <w:szCs w:val="24"/>
          <w:rtl/>
        </w:rPr>
        <w:t>מדינת ישראל נ' שלמה ג'הסי</w:t>
      </w:r>
      <w:r>
        <w:rPr>
          <w:rFonts w:ascii="David" w:hAnsi="David" w:cs="David"/>
          <w:spacing w:val="6"/>
          <w:sz w:val="24"/>
          <w:szCs w:val="24"/>
          <w:rtl/>
        </w:rPr>
        <w:t xml:space="preserve">, בפסקה 17 (‏30.6.2021); ע"א 8172/12 </w:t>
      </w:r>
      <w:r>
        <w:rPr>
          <w:rFonts w:ascii="David" w:hAnsi="David" w:cs="David"/>
          <w:b/>
          <w:bCs/>
          <w:spacing w:val="6"/>
          <w:sz w:val="24"/>
          <w:szCs w:val="24"/>
          <w:rtl/>
        </w:rPr>
        <w:t>פלוני נ' אגד-אגודה שיתופית לתחבורה בישראל בע"מ</w:t>
      </w:r>
      <w:r>
        <w:rPr>
          <w:rFonts w:ascii="David" w:hAnsi="David" w:cs="David"/>
          <w:spacing w:val="6"/>
          <w:sz w:val="24"/>
          <w:szCs w:val="24"/>
          <w:rtl/>
        </w:rPr>
        <w:t>, בפסקה 18 (‏18.1.2018)).</w:t>
      </w:r>
    </w:p>
    <w:p w:rsidR="00917435" w:rsidRDefault="00917435" w:rsidP="00917435">
      <w:pPr>
        <w:jc w:val="both"/>
        <w:rPr>
          <w:rFonts w:asciiTheme="minorHAnsi" w:hAnsiTheme="minorHAnsi" w:cstheme="minorBidi"/>
          <w:spacing w:val="6"/>
          <w:sz w:val="22"/>
          <w:szCs w:val="22"/>
          <w:rtl/>
        </w:rPr>
      </w:pPr>
    </w:p>
    <w:p w:rsidR="00917435" w:rsidRDefault="00917435" w:rsidP="00E10A94">
      <w:pPr>
        <w:spacing w:after="160" w:line="480" w:lineRule="auto"/>
        <w:jc w:val="both"/>
        <w:rPr>
          <w:rFonts w:ascii="David" w:hAnsi="David"/>
          <w:b/>
          <w:bCs/>
          <w:spacing w:val="6"/>
          <w:rtl/>
        </w:rPr>
      </w:pPr>
      <w:r>
        <w:rPr>
          <w:rFonts w:ascii="David" w:hAnsi="David"/>
          <w:b/>
          <w:bCs/>
          <w:spacing w:val="6"/>
          <w:rtl/>
        </w:rPr>
        <w:t>התביעה נגד הנתבעת 1 – קופת חולים כללית</w:t>
      </w:r>
    </w:p>
    <w:p w:rsidR="00917435" w:rsidRDefault="00917435" w:rsidP="00917435">
      <w:pPr>
        <w:pStyle w:val="ad"/>
        <w:numPr>
          <w:ilvl w:val="0"/>
          <w:numId w:val="1"/>
        </w:numPr>
        <w:spacing w:line="480" w:lineRule="auto"/>
        <w:jc w:val="both"/>
        <w:rPr>
          <w:rFonts w:ascii="David" w:hAnsi="David" w:cs="David"/>
          <w:spacing w:val="6"/>
          <w:sz w:val="24"/>
          <w:szCs w:val="24"/>
          <w:rtl/>
        </w:rPr>
      </w:pPr>
      <w:r>
        <w:rPr>
          <w:rFonts w:ascii="David" w:hAnsi="David" w:cs="David"/>
          <w:spacing w:val="6"/>
          <w:sz w:val="24"/>
          <w:szCs w:val="24"/>
          <w:rtl/>
        </w:rPr>
        <w:t>התובע סבל מהפרעות במערכת העיכול ותסמינים נלווים משחר ילדותו בשנת 1993. במרוצת השנים עבר בדיקות וטיפולים רבים עד לאבחון מחלת הירשפרונג, כן טופל בשנים אחרי האבחנה. ההתייחסות לטענות התובע ושאלת התיישנותן תחולק לשלוש תקופות על פני ציר הזמן, כמפורט להלן.</w:t>
      </w:r>
    </w:p>
    <w:p w:rsidR="00917435" w:rsidRDefault="00917435" w:rsidP="0062202C">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lastRenderedPageBreak/>
        <w:t>ביחס לאירועים ונזקים ק</w:t>
      </w:r>
      <w:r w:rsidR="0062202C">
        <w:rPr>
          <w:rFonts w:ascii="David" w:hAnsi="David" w:cs="David" w:hint="cs"/>
          <w:spacing w:val="6"/>
          <w:sz w:val="24"/>
          <w:szCs w:val="24"/>
          <w:rtl/>
        </w:rPr>
        <w:t>ו</w:t>
      </w:r>
      <w:r>
        <w:rPr>
          <w:rFonts w:ascii="David" w:hAnsi="David" w:cs="David"/>
          <w:spacing w:val="6"/>
          <w:sz w:val="24"/>
          <w:szCs w:val="24"/>
          <w:rtl/>
        </w:rPr>
        <w:t>דמים אשר התרחשו עוד מתקופת ילדותו של התובע, כל אלה התיישנו זה מכבר בשנת 2018 עת הגיע התובע לגיל 25, בלא שנדרש כל בירור עובדתי בעניינם לצורך הכרעה בטענת ההתיישנות, כפי שיבואר להלן.</w:t>
      </w:r>
    </w:p>
    <w:p w:rsidR="00917435" w:rsidRDefault="00917435" w:rsidP="006F5637">
      <w:pPr>
        <w:pStyle w:val="ad"/>
        <w:spacing w:line="480" w:lineRule="auto"/>
        <w:ind w:left="502"/>
        <w:jc w:val="both"/>
        <w:rPr>
          <w:rFonts w:ascii="David" w:hAnsi="David" w:cs="David"/>
          <w:spacing w:val="6"/>
          <w:sz w:val="24"/>
          <w:szCs w:val="24"/>
        </w:rPr>
      </w:pPr>
      <w:r>
        <w:rPr>
          <w:rFonts w:ascii="David" w:hAnsi="David" w:cs="David"/>
          <w:spacing w:val="6"/>
          <w:sz w:val="24"/>
          <w:szCs w:val="24"/>
          <w:rtl/>
        </w:rPr>
        <w:t>על פי חוות הדעת שצורפה לכתב התביעה, המדובר באשפוזים בשנים הראשונות לחיי התובע אשר סבל מתופעות שונות ובהן אנמיה, הקאות, בטן תפוחה, כאבים</w:t>
      </w:r>
      <w:r w:rsidR="00FF7B9C">
        <w:rPr>
          <w:rFonts w:ascii="David" w:hAnsi="David" w:cs="David" w:hint="cs"/>
          <w:spacing w:val="6"/>
          <w:sz w:val="24"/>
          <w:szCs w:val="24"/>
          <w:rtl/>
        </w:rPr>
        <w:t>,</w:t>
      </w:r>
      <w:r>
        <w:rPr>
          <w:rFonts w:ascii="David" w:hAnsi="David" w:cs="David"/>
          <w:spacing w:val="6"/>
          <w:sz w:val="24"/>
          <w:szCs w:val="24"/>
          <w:rtl/>
        </w:rPr>
        <w:t xml:space="preserve"> עצירויות קשות וחשד למחלת מעי גס תחתון. במהלך האשפוזים בשנים 1998-1995 המשיכו התופעות האמורות ובוצעו מספר ביופסיות אשר לא הובילו לאבחנות ברורות או טיפוליות משמעותיות. בתוך כך גם התפתחה דלקת ר</w:t>
      </w:r>
      <w:r w:rsidR="00FF7B9C">
        <w:rPr>
          <w:rFonts w:ascii="David" w:hAnsi="David" w:cs="David" w:hint="cs"/>
          <w:spacing w:val="6"/>
          <w:sz w:val="24"/>
          <w:szCs w:val="24"/>
          <w:rtl/>
        </w:rPr>
        <w:t>י</w:t>
      </w:r>
      <w:r>
        <w:rPr>
          <w:rFonts w:ascii="David" w:hAnsi="David" w:cs="David"/>
          <w:spacing w:val="6"/>
          <w:sz w:val="24"/>
          <w:szCs w:val="24"/>
          <w:rtl/>
        </w:rPr>
        <w:t>אות בעקבות הקאות מרובות. רק בשנת 2000, בהגיע התובע לגיל 7, אובחנה לבסוף מחלת הירשפרונג במעי הגס השמאלי כגורם לעצירויות החמורות לאורך השנים (להלן: "</w:t>
      </w:r>
      <w:r>
        <w:rPr>
          <w:rFonts w:ascii="David" w:hAnsi="David" w:cs="David"/>
          <w:b/>
          <w:bCs/>
          <w:spacing w:val="6"/>
          <w:sz w:val="24"/>
          <w:szCs w:val="24"/>
          <w:rtl/>
        </w:rPr>
        <w:t>מחלת התובע</w:t>
      </w:r>
      <w:r>
        <w:rPr>
          <w:rFonts w:ascii="David" w:hAnsi="David" w:cs="David"/>
          <w:spacing w:val="6"/>
          <w:sz w:val="24"/>
          <w:szCs w:val="24"/>
          <w:rtl/>
        </w:rPr>
        <w:t xml:space="preserve">"). בחודש אוקטובר 2000 התקבל התובע לטיפול כירורגי במחלתו. כשנתיים לאחר מכן אושפז בעקבות חסימת המעי הגס ובוצע ריקון הרקטום מהצואה אשר חסמה את המעבר. בשנת 2003 אושפז ונמצא חולה לאחר הניתוח לכריתה במעי הגס שלאחריו נמצא סובל מכאבי בטן, שלשולים ועצירות לסירוגין. בשנת 2005 עבר התובע ניתוח אורולוגי ובחודש אפריל בשנת 2010 כאשר התקבל בבית החולים נצפתה תמונה דלקתית במעי הגס בעקבותיה טופל בעירויים, חוקנים ושטיפות הרקטום. בהמשך אותו החודש אושפז שוב עקב כאבי בטן. אף אם אתייחס לטענה המוכחשת בדבר איחור באבחון מחלת התובע כמוכחת, הרי שזו היתה ידועה לתובע במועד האבחון, למצער היה את "קצה החוט" הנדרש לצורך דרישה וחקירה. גם אם רשלנות האבחון המאוחר, לכאורה, נעלמה מעיני התובע, לאחר גילוי מחלת התובע, היה עליו לחשוד או להעלות סברה בדבר האבחון המאוחר והקשר הסיבתי לנזקיו. לפיכך אין מקום להשעות את מרוץ ההתיישנות מכוח סעיף 8 לחוק ההתיישנות (ר' </w:t>
      </w:r>
      <w:r>
        <w:rPr>
          <w:rFonts w:ascii="David" w:hAnsi="David" w:cs="David"/>
          <w:b/>
          <w:bCs/>
          <w:spacing w:val="6"/>
          <w:sz w:val="24"/>
          <w:szCs w:val="24"/>
          <w:rtl/>
        </w:rPr>
        <w:t>ענין אגרקסקו</w:t>
      </w:r>
      <w:r>
        <w:rPr>
          <w:rFonts w:ascii="David" w:hAnsi="David" w:cs="David"/>
          <w:spacing w:val="6"/>
          <w:sz w:val="24"/>
          <w:szCs w:val="24"/>
          <w:rtl/>
        </w:rPr>
        <w:t xml:space="preserve">, בפסקה 48; ע"א 1726/21 </w:t>
      </w:r>
      <w:r>
        <w:rPr>
          <w:rFonts w:ascii="David" w:hAnsi="David" w:cs="David"/>
          <w:b/>
          <w:bCs/>
          <w:spacing w:val="6"/>
          <w:sz w:val="24"/>
          <w:szCs w:val="24"/>
          <w:rtl/>
        </w:rPr>
        <w:t>מוחמד בכרי נ' ניסים מגנאג'י</w:t>
      </w:r>
      <w:r>
        <w:rPr>
          <w:rFonts w:ascii="David" w:hAnsi="David" w:cs="David"/>
          <w:spacing w:val="6"/>
          <w:sz w:val="24"/>
          <w:szCs w:val="24"/>
          <w:rtl/>
        </w:rPr>
        <w:t xml:space="preserve">, בפסקה 37 לפסק דינו של כב' הש' י' עמית (‏23.11.2022); רע"א 1101/20 </w:t>
      </w:r>
      <w:r>
        <w:rPr>
          <w:rFonts w:ascii="David" w:hAnsi="David" w:cs="David"/>
          <w:b/>
          <w:bCs/>
          <w:spacing w:val="6"/>
          <w:sz w:val="24"/>
          <w:szCs w:val="24"/>
          <w:rtl/>
        </w:rPr>
        <w:t>שירותי בריאות כללית נ' פלוני</w:t>
      </w:r>
      <w:r>
        <w:rPr>
          <w:rFonts w:ascii="David" w:hAnsi="David" w:cs="David"/>
          <w:spacing w:val="6"/>
          <w:sz w:val="24"/>
          <w:szCs w:val="24"/>
          <w:rtl/>
        </w:rPr>
        <w:t xml:space="preserve">, פסקה 16 (‏21.5.2020)). נזקיו של התובע ליוו אותו באופן תמידי, וממילא אף אם תקופת ההתיישנות </w:t>
      </w:r>
      <w:r w:rsidR="00FF7B9C">
        <w:rPr>
          <w:rFonts w:ascii="David" w:hAnsi="David" w:cs="David" w:hint="cs"/>
          <w:spacing w:val="6"/>
          <w:sz w:val="24"/>
          <w:szCs w:val="24"/>
          <w:rtl/>
        </w:rPr>
        <w:t>היית</w:t>
      </w:r>
      <w:r w:rsidR="00FF7B9C">
        <w:rPr>
          <w:rFonts w:ascii="David" w:hAnsi="David" w:cs="David" w:hint="eastAsia"/>
          <w:spacing w:val="6"/>
          <w:sz w:val="24"/>
          <w:szCs w:val="24"/>
          <w:rtl/>
        </w:rPr>
        <w:t>ה</w:t>
      </w:r>
      <w:r>
        <w:rPr>
          <w:rFonts w:ascii="David" w:hAnsi="David" w:cs="David"/>
          <w:spacing w:val="6"/>
          <w:sz w:val="24"/>
          <w:szCs w:val="24"/>
          <w:rtl/>
        </w:rPr>
        <w:t xml:space="preserve"> מוארכת ב-3 שנים נוספות מכוח סעיף 89(2) לפקודת הנזיקין, לא היה </w:t>
      </w:r>
      <w:r>
        <w:rPr>
          <w:rFonts w:ascii="David" w:hAnsi="David" w:cs="David"/>
          <w:spacing w:val="6"/>
          <w:sz w:val="24"/>
          <w:szCs w:val="24"/>
          <w:rtl/>
        </w:rPr>
        <w:lastRenderedPageBreak/>
        <w:t xml:space="preserve">בכך להועיל לתובע שכן ממילא תקופת ההתיישנות החלה להימנות מיום הגעתו לגיל 18, בשנת 2011. </w:t>
      </w:r>
    </w:p>
    <w:p w:rsidR="00917435" w:rsidRDefault="00917435" w:rsidP="00E628DB">
      <w:pPr>
        <w:pStyle w:val="ad"/>
        <w:spacing w:line="480" w:lineRule="auto"/>
        <w:ind w:left="502"/>
        <w:jc w:val="both"/>
        <w:rPr>
          <w:rFonts w:ascii="David" w:hAnsi="David" w:cs="David"/>
          <w:spacing w:val="6"/>
          <w:sz w:val="24"/>
          <w:szCs w:val="24"/>
          <w:rtl/>
        </w:rPr>
      </w:pPr>
      <w:r>
        <w:rPr>
          <w:rFonts w:ascii="David" w:hAnsi="David" w:cs="David"/>
          <w:spacing w:val="6"/>
          <w:sz w:val="24"/>
          <w:szCs w:val="24"/>
          <w:rtl/>
        </w:rPr>
        <w:t xml:space="preserve">יצוין כי היעדר אבחון לא מהווה עילה נמשכת אלא אירוע עוולתי יחיד ולכל היותר מדובר בנזק מתמשך. </w:t>
      </w:r>
    </w:p>
    <w:p w:rsidR="00917435" w:rsidRDefault="00917435" w:rsidP="00F21167">
      <w:pPr>
        <w:pStyle w:val="ad"/>
        <w:numPr>
          <w:ilvl w:val="0"/>
          <w:numId w:val="1"/>
        </w:numPr>
        <w:spacing w:line="480" w:lineRule="auto"/>
        <w:jc w:val="both"/>
        <w:rPr>
          <w:rFonts w:ascii="David" w:hAnsi="David" w:cs="David"/>
          <w:spacing w:val="6"/>
          <w:sz w:val="24"/>
          <w:szCs w:val="24"/>
          <w:rtl/>
        </w:rPr>
      </w:pPr>
      <w:r>
        <w:rPr>
          <w:rFonts w:ascii="David" w:hAnsi="David" w:cs="David"/>
          <w:spacing w:val="6"/>
          <w:sz w:val="24"/>
          <w:szCs w:val="24"/>
          <w:rtl/>
        </w:rPr>
        <w:t xml:space="preserve">בשנת 2014 התובע אושפז וטופל שוב מספר פעמים לצורך ביצוע שטיפות של המעי וכן בוצעו כריתה של הסיגמה, יצירת יציאה מן הצד ושורת טיפולים נוספים ותהליכים כירורגיים שהותירו נכות כבדה בדופן הבטן. לטענת התובע, הניתוח בוצע באופן כושל. בשנת 2015 נותח שוב התובע לסגירת האילאוסטומיה ולטיפול בדלף קיצוני מספר פעמים אולם הצוות הכירורגי הסתפק בשטיפות בלבד תוך השארת הבטן סגורה ולא ביצע כריתת השקה דולפת כמתוכנן. אירועים אלה, בשנות בגרותו הראשונות של התובע, כפי שמתוארים בכתב התביעה, </w:t>
      </w:r>
      <w:r w:rsidR="00854E1E">
        <w:rPr>
          <w:rFonts w:ascii="David" w:hAnsi="David" w:cs="David" w:hint="cs"/>
          <w:spacing w:val="6"/>
          <w:sz w:val="24"/>
          <w:szCs w:val="24"/>
          <w:rtl/>
        </w:rPr>
        <w:t>קשורים למקרי העבר</w:t>
      </w:r>
      <w:r w:rsidR="00F21167">
        <w:rPr>
          <w:rFonts w:ascii="David" w:hAnsi="David" w:cs="David" w:hint="cs"/>
          <w:spacing w:val="6"/>
          <w:sz w:val="24"/>
          <w:szCs w:val="24"/>
          <w:rtl/>
        </w:rPr>
        <w:t xml:space="preserve">. אף אם תתקבל </w:t>
      </w:r>
      <w:r>
        <w:rPr>
          <w:rFonts w:ascii="David" w:hAnsi="David" w:cs="David"/>
          <w:spacing w:val="6"/>
          <w:sz w:val="24"/>
          <w:szCs w:val="24"/>
          <w:rtl/>
        </w:rPr>
        <w:t>הטענה לפיה הטיפולים היו רשלניים לכשעצמם, וללא קשר למצבו הקודם של התובע, הרי שגם טיפולים וניתוחים אל</w:t>
      </w:r>
      <w:r w:rsidR="00F21167">
        <w:rPr>
          <w:rFonts w:ascii="David" w:hAnsi="David" w:cs="David" w:hint="cs"/>
          <w:spacing w:val="6"/>
          <w:sz w:val="24"/>
          <w:szCs w:val="24"/>
          <w:rtl/>
        </w:rPr>
        <w:t>ו</w:t>
      </w:r>
      <w:r>
        <w:rPr>
          <w:rFonts w:ascii="David" w:hAnsi="David" w:cs="David"/>
          <w:spacing w:val="6"/>
          <w:sz w:val="24"/>
          <w:szCs w:val="24"/>
          <w:rtl/>
        </w:rPr>
        <w:t xml:space="preserve"> התיישנו בשנת 2022 עובר למועד הגשת התביעה, ואין בעניינם כל טענה של התיישנות שלא מדעת או נזקים נסתרים שלא התגלו במועד הטיפולים או בסמוך אליהם. </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 xml:space="preserve">בתקופה השלישית, כאשר ציר הזמן הטיפולי עומד על חודש אפריל 2016, נזקק התובע, על פי חוות הדעת מטעמו, לטיפול כירורגי-פלסטי עקב נזק נרחב בדופן הבטן באזור שנותח כאשר טרם הוחלט על אפשרות לסגירת הקולוסטומיה. בהמשך בוצעו פרוצדורות רפואיות, אשפוזים וניתוחים רבים לרבות ביצוע </w:t>
      </w:r>
      <w:r>
        <w:rPr>
          <w:rFonts w:ascii="David" w:hAnsi="David" w:cs="David"/>
          <w:spacing w:val="6"/>
          <w:sz w:val="24"/>
          <w:szCs w:val="24"/>
        </w:rPr>
        <w:t>CTU</w:t>
      </w:r>
      <w:r>
        <w:rPr>
          <w:rFonts w:ascii="David" w:hAnsi="David" w:cs="David"/>
          <w:spacing w:val="6"/>
          <w:sz w:val="24"/>
          <w:szCs w:val="24"/>
          <w:rtl/>
        </w:rPr>
        <w:t xml:space="preserve"> והכנסת נפרוסטומיות. בהמשך צניחה בתפקוד הכליה השמאלית (בשנת 2016), הרחבה של השסתום בפי הטבעת, ניתוח לסגירת האילאוסטומיה (בשנת 2017), אשפוז על רקע תהליך זיהומי ודלקת בכיס המרה, היצרות באזור ההשקה בין המעי והרקטום, אבחנה של דלף, דימום רקטלי (בשנת 2018) וביצוע </w:t>
      </w:r>
      <w:r>
        <w:rPr>
          <w:rFonts w:ascii="David" w:hAnsi="David" w:cs="David"/>
          <w:spacing w:val="6"/>
          <w:sz w:val="24"/>
          <w:szCs w:val="24"/>
        </w:rPr>
        <w:t>SPHINCTRETOMY</w:t>
      </w:r>
      <w:r>
        <w:rPr>
          <w:rFonts w:ascii="David" w:hAnsi="David" w:cs="David"/>
          <w:spacing w:val="6"/>
          <w:sz w:val="24"/>
          <w:szCs w:val="24"/>
          <w:rtl/>
        </w:rPr>
        <w:t xml:space="preserve"> כושלת והרסנית לטענת התובע, אשר הובילה לסיבוכים קשים. </w:t>
      </w:r>
    </w:p>
    <w:p w:rsidR="00917435" w:rsidRDefault="00917435" w:rsidP="00FF7B9C">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 xml:space="preserve">בשנת 2019 בוצע ניתוח לכריתת הכליה השמאלית. באשפוז בשנת 2019 נטען כי התובע סבל מאלח דם מסכן חיים, נמצא נמק במעי לאחר כריתתו, זיהומים, מורסה באזור </w:t>
      </w:r>
      <w:r>
        <w:rPr>
          <w:rFonts w:ascii="David" w:hAnsi="David" w:cs="David"/>
          <w:spacing w:val="6"/>
          <w:sz w:val="24"/>
          <w:szCs w:val="24"/>
          <w:rtl/>
        </w:rPr>
        <w:lastRenderedPageBreak/>
        <w:t>הרקטום, הפרשה צואתית מהפצע הניתוחי באזור הבטן, הפרשה מוגלתית מפי הטבעת ותסמינים נוספים. בשנת 2019 בוצעו שוב שטיפות, התובע נותח שוב ושוב ובוצעו ניקוזים מחללים שונים, כריתת כיס המרה שנקרע במהלך הניתוח, כריתת התוספתן וקטעי מעי נוספים. מצבו של התובע הוסיף להתדרדר ובשנת 2020 בוצע ניתוח בטן בו נמצאה מורסה ענקית</w:t>
      </w:r>
      <w:r w:rsidR="00FF7B9C">
        <w:rPr>
          <w:rFonts w:ascii="David" w:hAnsi="David" w:cs="David" w:hint="cs"/>
          <w:spacing w:val="6"/>
          <w:sz w:val="24"/>
          <w:szCs w:val="24"/>
          <w:rtl/>
        </w:rPr>
        <w:t>,</w:t>
      </w:r>
      <w:r>
        <w:rPr>
          <w:rFonts w:ascii="David" w:hAnsi="David" w:cs="David"/>
          <w:spacing w:val="6"/>
          <w:sz w:val="24"/>
          <w:szCs w:val="24"/>
          <w:rtl/>
        </w:rPr>
        <w:t xml:space="preserve"> מיקום יציאת המעי </w:t>
      </w:r>
      <w:r w:rsidR="00FF7B9C">
        <w:rPr>
          <w:rFonts w:ascii="David" w:hAnsi="David" w:cs="David" w:hint="cs"/>
          <w:spacing w:val="6"/>
          <w:sz w:val="24"/>
          <w:szCs w:val="24"/>
          <w:rtl/>
        </w:rPr>
        <w:t xml:space="preserve">שונה </w:t>
      </w:r>
      <w:r>
        <w:rPr>
          <w:rFonts w:ascii="David" w:hAnsi="David" w:cs="David"/>
          <w:spacing w:val="6"/>
          <w:sz w:val="24"/>
          <w:szCs w:val="24"/>
          <w:rtl/>
        </w:rPr>
        <w:t>בצורה מרושלת. בהמשך סבל התובע מזיהומים ותסמינים דומים שחווה בעבר בדמות מוגלות, הפרשות שונות, חום, זיהומים, כאבים ועוד</w:t>
      </w:r>
      <w:r w:rsidR="00273C99">
        <w:rPr>
          <w:rFonts w:ascii="David" w:hAnsi="David" w:cs="David" w:hint="cs"/>
          <w:spacing w:val="6"/>
          <w:sz w:val="24"/>
          <w:szCs w:val="24"/>
          <w:rtl/>
        </w:rPr>
        <w:t>,</w:t>
      </w:r>
      <w:r>
        <w:rPr>
          <w:rFonts w:ascii="David" w:hAnsi="David" w:cs="David"/>
          <w:spacing w:val="6"/>
          <w:sz w:val="24"/>
          <w:szCs w:val="24"/>
          <w:rtl/>
        </w:rPr>
        <w:t xml:space="preserve"> אשר חייבו בדיקות, ניקוזים, שטיפות וטיפולים נוספים. </w:t>
      </w:r>
    </w:p>
    <w:p w:rsidR="00917435" w:rsidRDefault="00917435" w:rsidP="006F5637">
      <w:pPr>
        <w:pStyle w:val="ad"/>
        <w:spacing w:line="480" w:lineRule="auto"/>
        <w:ind w:left="502"/>
        <w:jc w:val="both"/>
        <w:rPr>
          <w:rFonts w:ascii="David" w:hAnsi="David" w:cs="David"/>
          <w:spacing w:val="6"/>
          <w:sz w:val="24"/>
          <w:szCs w:val="24"/>
        </w:rPr>
      </w:pPr>
      <w:r>
        <w:rPr>
          <w:rFonts w:ascii="David" w:hAnsi="David" w:cs="David"/>
          <w:spacing w:val="6"/>
          <w:sz w:val="24"/>
          <w:szCs w:val="24"/>
          <w:rtl/>
        </w:rPr>
        <w:t>על פניו, לחלק ניכר מהטיפולים שעבר התובע בתקופה זו, משנת 2016 ואילך, לא מיוחסת כל רשלנות. עם זאת חוות דעת מייחסת לנתבעים, בכוללניות, ביצוע "ניתוחים כושלים" אשר הובילו לנכויות שנקבעו לתובע על ידי המומחה מטעמו. נותר לברר את טענת התובע בכל הקשור לאפשרות שחלק מהניתוחים שעבר בתקופה זו בוצעו באופן רשלני, כפי שהוא טוען, והם לכשעצמם הובילו לנזקים עצמאיים החורגים מהמצב הרפואי הקודם אליו נקלע התובע. הואיל והתובע עבר שורה ארוכה של טיפולים וניתוחים, הנני סבורה שיש מקום לבירור עובדתי ביחס לטיב הטיפולים שעבר, על רקע מצבו</w:t>
      </w:r>
      <w:r w:rsidR="0000110B">
        <w:rPr>
          <w:rFonts w:ascii="David" w:hAnsi="David" w:cs="David" w:hint="cs"/>
          <w:spacing w:val="6"/>
          <w:sz w:val="24"/>
          <w:szCs w:val="24"/>
          <w:rtl/>
        </w:rPr>
        <w:t xml:space="preserve"> הרפואי </w:t>
      </w:r>
      <w:r>
        <w:rPr>
          <w:rFonts w:ascii="David" w:hAnsi="David" w:cs="David"/>
          <w:spacing w:val="6"/>
          <w:sz w:val="24"/>
          <w:szCs w:val="24"/>
          <w:rtl/>
        </w:rPr>
        <w:t>הנתון</w:t>
      </w:r>
      <w:r w:rsidR="0000110B">
        <w:rPr>
          <w:rFonts w:ascii="David" w:hAnsi="David" w:cs="David" w:hint="cs"/>
          <w:spacing w:val="6"/>
          <w:sz w:val="24"/>
          <w:szCs w:val="24"/>
          <w:rtl/>
        </w:rPr>
        <w:t xml:space="preserve">, </w:t>
      </w:r>
      <w:r w:rsidR="00273C99">
        <w:rPr>
          <w:rFonts w:ascii="David" w:hAnsi="David" w:cs="David" w:hint="cs"/>
          <w:spacing w:val="6"/>
          <w:sz w:val="24"/>
          <w:szCs w:val="24"/>
          <w:rtl/>
        </w:rPr>
        <w:t>התחלואה</w:t>
      </w:r>
      <w:r w:rsidR="0000110B">
        <w:rPr>
          <w:rFonts w:ascii="David" w:hAnsi="David" w:cs="David" w:hint="cs"/>
          <w:spacing w:val="6"/>
          <w:sz w:val="24"/>
          <w:szCs w:val="24"/>
          <w:rtl/>
        </w:rPr>
        <w:t xml:space="preserve"> והסיבוכים מהם סבל עוד בטרם עבר טיפולים אלו</w:t>
      </w:r>
      <w:r>
        <w:rPr>
          <w:rFonts w:ascii="David" w:hAnsi="David" w:cs="David"/>
          <w:spacing w:val="6"/>
          <w:sz w:val="24"/>
          <w:szCs w:val="24"/>
          <w:rtl/>
        </w:rPr>
        <w:t xml:space="preserve">. מוקדם בשלב זה להכריע בשאלת ההתיישנות ביחס למכלול הטיפולים המיוחסים לנתבעים 2-1 החל משנת 2016 ואילך וזו תיבחן שוב ותוכרע לאחר שמיעת הראיות. </w:t>
      </w:r>
    </w:p>
    <w:p w:rsidR="00917435" w:rsidRDefault="00917435" w:rsidP="00E10A94">
      <w:pPr>
        <w:spacing w:after="160" w:line="480" w:lineRule="auto"/>
        <w:jc w:val="both"/>
        <w:rPr>
          <w:rFonts w:ascii="David" w:hAnsi="David"/>
          <w:b/>
          <w:bCs/>
          <w:spacing w:val="6"/>
        </w:rPr>
      </w:pPr>
      <w:r>
        <w:rPr>
          <w:rFonts w:ascii="David" w:hAnsi="David"/>
          <w:b/>
          <w:bCs/>
          <w:spacing w:val="6"/>
          <w:rtl/>
        </w:rPr>
        <w:t>התביעה נגד הנתבע 3 – בית חולים לניאדו</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 xml:space="preserve">התובע מתמקד באירוע שהתרחש בחודש יולי 2016 במסגרתו, כפי שעולה מחוות הדעת, "במהלך ביצוע </w:t>
      </w:r>
      <w:r>
        <w:rPr>
          <w:rFonts w:ascii="David" w:hAnsi="David" w:cs="David"/>
          <w:spacing w:val="6"/>
          <w:sz w:val="24"/>
          <w:szCs w:val="24"/>
        </w:rPr>
        <w:t>CTU</w:t>
      </w:r>
      <w:r>
        <w:rPr>
          <w:rFonts w:ascii="David" w:hAnsi="David" w:cs="David"/>
          <w:spacing w:val="6"/>
          <w:sz w:val="24"/>
          <w:szCs w:val="24"/>
          <w:rtl/>
        </w:rPr>
        <w:t xml:space="preserve"> נצפתה כליה שמאלית מוגדלת והידרואורטר לכל האורך, כמובן עם הידרשות להכנסות חוזרות של תומכנים לשופכן שמאל ונפרוסטומיות. התפתחה </w:t>
      </w:r>
      <w:r>
        <w:rPr>
          <w:rFonts w:ascii="David" w:hAnsi="David" w:cs="David"/>
          <w:spacing w:val="6"/>
          <w:sz w:val="24"/>
          <w:szCs w:val="24"/>
        </w:rPr>
        <w:t>PYELONEPHRITIS</w:t>
      </w:r>
      <w:r>
        <w:rPr>
          <w:rFonts w:ascii="David" w:hAnsi="David" w:cs="David"/>
          <w:spacing w:val="6"/>
          <w:sz w:val="24"/>
          <w:szCs w:val="24"/>
          <w:rtl/>
        </w:rPr>
        <w:t xml:space="preserve"> קשה בכליה שמאלית". לטענת התובע, אירוע זה במועד זה חל בתוך תקופת ההתיישנות הואיל והתביעה הוגשה בחודש מאי 2023 (אעיר שעיון בתיק בית המשפט מעלה שהתביעה הוגשה ביום 2.3.2023). </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lastRenderedPageBreak/>
        <w:t>עוד מתייחס התובע לאירוע נוסף</w:t>
      </w:r>
      <w:r w:rsidR="00FA2240">
        <w:rPr>
          <w:rFonts w:ascii="David" w:hAnsi="David" w:cs="David" w:hint="cs"/>
          <w:spacing w:val="6"/>
          <w:sz w:val="24"/>
          <w:szCs w:val="24"/>
          <w:rtl/>
        </w:rPr>
        <w:t>,</w:t>
      </w:r>
      <w:r>
        <w:rPr>
          <w:rFonts w:ascii="David" w:hAnsi="David" w:cs="David"/>
          <w:spacing w:val="6"/>
          <w:sz w:val="24"/>
          <w:szCs w:val="24"/>
          <w:rtl/>
        </w:rPr>
        <w:t xml:space="preserve"> על פי חוות הדעת, "בתאריך 07.09.2016 נדרשה הכנסת נפרוסטום לכליה שמאלית עם צניחה חמורה בתפקוד הכליה ל 20%. בהמשך בתאריך 25.09.2016 נדרש [התובע] לביצוע ריסוק של תומכן מסויד שנתקע בחלל השופכן השמאלי. לאחר פעולה זאת בוצעה החלפת התומכן [והתובע] שוחרר לביתו. חודשיים לאחר זאת, הוצא הנפרוסטום וזומן להמשך מעקב אורולוגי ושיקול להחלפת התומכן בתוך השופכן השמאלי. במקביל, זומן גם לביצוע הרחבה של השסתום אשר בפי הטבעת בתאריך 23.02.2017." ובהמשך חוות הדעת:</w:t>
      </w:r>
    </w:p>
    <w:p w:rsidR="00917435" w:rsidRDefault="00917435" w:rsidP="00E03834">
      <w:pPr>
        <w:pStyle w:val="ad"/>
        <w:spacing w:line="480" w:lineRule="auto"/>
        <w:ind w:left="502"/>
        <w:jc w:val="both"/>
        <w:rPr>
          <w:rFonts w:ascii="David" w:hAnsi="David" w:cs="David"/>
          <w:spacing w:val="6"/>
          <w:sz w:val="24"/>
          <w:szCs w:val="24"/>
        </w:rPr>
      </w:pPr>
      <w:r>
        <w:rPr>
          <w:rFonts w:ascii="David" w:hAnsi="David" w:cs="David"/>
          <w:spacing w:val="6"/>
          <w:sz w:val="24"/>
          <w:szCs w:val="24"/>
          <w:rtl/>
        </w:rPr>
        <w:t>"מצבו של [התובע] המשיך להידרדר עם איבודי הכרה על רקע דימום רקטלי וצניחה ברמות ההמוגלובין עד 5.8. עקב כך נדרש לאשפוז בבית חולים לניאדו, עם מתן 3 מנות דם, אך ללא גילוי מקור הדמום ממערכת העיכול".</w:t>
      </w:r>
    </w:p>
    <w:p w:rsidR="00917435" w:rsidRDefault="00917435" w:rsidP="00931908">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 xml:space="preserve">הלכה למעשה, האזכור ביחס לנתבע 3 מתייחס אך ורק למתן 3 מנות דם כאשר הנתבע 3 כלל אינו מכיר את האשפוזים משנת 2016 ואילך ואלה אינם מיוחסים לו בחומר הרפואי או בחוות הדעת. למעשה לא צורפה לכתב התביעה כל אסמכתא שהיא מבית החולים לניאדו (הנתבע 3).  יתר על כן, גם </w:t>
      </w:r>
      <w:r w:rsidR="00F636E9">
        <w:rPr>
          <w:rFonts w:ascii="David" w:hAnsi="David" w:cs="David" w:hint="cs"/>
          <w:spacing w:val="6"/>
          <w:sz w:val="24"/>
          <w:szCs w:val="24"/>
          <w:rtl/>
        </w:rPr>
        <w:t xml:space="preserve">אם אניח שהתובע יוכיח </w:t>
      </w:r>
      <w:r w:rsidR="00931908">
        <w:rPr>
          <w:rFonts w:ascii="David" w:hAnsi="David" w:cs="David"/>
          <w:spacing w:val="6"/>
          <w:sz w:val="24"/>
          <w:szCs w:val="24"/>
          <w:rtl/>
        </w:rPr>
        <w:t>פניה לנתבע 3 בשנת 2016</w:t>
      </w:r>
      <w:r w:rsidR="00931908">
        <w:rPr>
          <w:rFonts w:ascii="David" w:hAnsi="David" w:cs="David" w:hint="cs"/>
          <w:spacing w:val="6"/>
          <w:sz w:val="24"/>
          <w:szCs w:val="24"/>
          <w:rtl/>
        </w:rPr>
        <w:t xml:space="preserve">, ויוכח שקבל שלוש מנות דם עקב איבוד דם, </w:t>
      </w:r>
      <w:r>
        <w:rPr>
          <w:rFonts w:ascii="David" w:hAnsi="David" w:cs="David"/>
          <w:spacing w:val="6"/>
          <w:sz w:val="24"/>
          <w:szCs w:val="24"/>
          <w:rtl/>
        </w:rPr>
        <w:t>הרי ש</w:t>
      </w:r>
      <w:r w:rsidR="00931908">
        <w:rPr>
          <w:rFonts w:ascii="David" w:hAnsi="David" w:cs="David" w:hint="cs"/>
          <w:spacing w:val="6"/>
          <w:sz w:val="24"/>
          <w:szCs w:val="24"/>
          <w:rtl/>
        </w:rPr>
        <w:t xml:space="preserve">עיקר הטיפול לפני ואחרי בוצע אצל </w:t>
      </w:r>
      <w:r>
        <w:rPr>
          <w:rFonts w:ascii="David" w:hAnsi="David" w:cs="David"/>
          <w:spacing w:val="6"/>
          <w:sz w:val="24"/>
          <w:szCs w:val="24"/>
          <w:rtl/>
        </w:rPr>
        <w:t>הנתבעות 2-1</w:t>
      </w:r>
      <w:r w:rsidR="00931908">
        <w:rPr>
          <w:rFonts w:ascii="David" w:hAnsi="David" w:cs="David" w:hint="cs"/>
          <w:spacing w:val="6"/>
          <w:sz w:val="24"/>
          <w:szCs w:val="24"/>
          <w:rtl/>
        </w:rPr>
        <w:t>.</w:t>
      </w:r>
      <w:r>
        <w:rPr>
          <w:rFonts w:ascii="David" w:hAnsi="David" w:cs="David"/>
          <w:spacing w:val="6"/>
          <w:sz w:val="24"/>
          <w:szCs w:val="24"/>
          <w:rtl/>
        </w:rPr>
        <w:t xml:space="preserve"> </w:t>
      </w:r>
      <w:r w:rsidR="00931908">
        <w:rPr>
          <w:rFonts w:ascii="David" w:hAnsi="David" w:cs="David" w:hint="cs"/>
          <w:spacing w:val="6"/>
          <w:sz w:val="24"/>
          <w:szCs w:val="24"/>
          <w:rtl/>
        </w:rPr>
        <w:t>בכל מקרה ,</w:t>
      </w:r>
      <w:r>
        <w:rPr>
          <w:rFonts w:ascii="David" w:hAnsi="David" w:cs="David"/>
          <w:spacing w:val="6"/>
          <w:sz w:val="24"/>
          <w:szCs w:val="24"/>
          <w:rtl/>
        </w:rPr>
        <w:t xml:space="preserve">לא </w:t>
      </w:r>
      <w:r w:rsidR="00931908">
        <w:rPr>
          <w:rFonts w:ascii="David" w:hAnsi="David" w:cs="David" w:hint="cs"/>
          <w:spacing w:val="6"/>
          <w:sz w:val="24"/>
          <w:szCs w:val="24"/>
          <w:rtl/>
        </w:rPr>
        <w:t>נטען ב</w:t>
      </w:r>
      <w:r>
        <w:rPr>
          <w:rFonts w:ascii="David" w:hAnsi="David" w:cs="David"/>
          <w:spacing w:val="6"/>
          <w:sz w:val="24"/>
          <w:szCs w:val="24"/>
          <w:rtl/>
        </w:rPr>
        <w:t xml:space="preserve">חוות דעת </w:t>
      </w:r>
      <w:r w:rsidR="00931908">
        <w:rPr>
          <w:rFonts w:ascii="David" w:hAnsi="David" w:cs="David" w:hint="cs"/>
          <w:spacing w:val="6"/>
          <w:sz w:val="24"/>
          <w:szCs w:val="24"/>
          <w:rtl/>
        </w:rPr>
        <w:t>ל</w:t>
      </w:r>
      <w:r>
        <w:rPr>
          <w:rFonts w:ascii="David" w:hAnsi="David" w:cs="David"/>
          <w:spacing w:val="6"/>
          <w:sz w:val="24"/>
          <w:szCs w:val="24"/>
          <w:rtl/>
        </w:rPr>
        <w:t xml:space="preserve">נזק שנגרם לתובע בעקבות טיפול זה אצל הנתבע 3 או הנובע ממנו. </w:t>
      </w:r>
      <w:r w:rsidR="00931908">
        <w:rPr>
          <w:rFonts w:ascii="David" w:hAnsi="David" w:cs="David" w:hint="cs"/>
          <w:spacing w:val="6"/>
          <w:sz w:val="24"/>
          <w:szCs w:val="24"/>
          <w:rtl/>
        </w:rPr>
        <w:t>ל</w:t>
      </w:r>
      <w:r>
        <w:rPr>
          <w:rFonts w:ascii="David" w:hAnsi="David" w:cs="David"/>
          <w:spacing w:val="6"/>
          <w:sz w:val="24"/>
          <w:szCs w:val="24"/>
          <w:rtl/>
        </w:rPr>
        <w:t>א מיוחסת ל</w:t>
      </w:r>
      <w:r w:rsidR="00931908">
        <w:rPr>
          <w:rFonts w:ascii="David" w:hAnsi="David" w:cs="David" w:hint="cs"/>
          <w:spacing w:val="6"/>
          <w:sz w:val="24"/>
          <w:szCs w:val="24"/>
          <w:rtl/>
        </w:rPr>
        <w:t xml:space="preserve">נתבע 3 פעולה רשלנית. אין להסתפק באמיר הכוללנית שלא אובחן מקור הדימום מבלי לפרט את הנזק שנגרם בעטיו של טיפול זה. לפיכך לא מצאתי עילת תביעה נגד הנתבע 3.  </w:t>
      </w:r>
    </w:p>
    <w:p w:rsidR="00917435" w:rsidRDefault="00917435" w:rsidP="00917435">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 xml:space="preserve">למען הסר ספק, יובהר כי התיישנות הטענות בדבר רשלנות בתקופת ילדותו של התובע, כמפורט בפסקה לעיל ביחס לנתבעים 2-1, חלה מאותם הטעמים אף ביחס לנתבע 3. </w:t>
      </w:r>
    </w:p>
    <w:p w:rsidR="00917435" w:rsidRPr="00917435" w:rsidRDefault="00917435" w:rsidP="00917435">
      <w:pPr>
        <w:spacing w:line="480" w:lineRule="auto"/>
        <w:jc w:val="both"/>
        <w:rPr>
          <w:rFonts w:ascii="David" w:hAnsi="David"/>
          <w:spacing w:val="6"/>
        </w:rPr>
      </w:pPr>
    </w:p>
    <w:p w:rsidR="00917435" w:rsidRDefault="00917435" w:rsidP="00917435">
      <w:pPr>
        <w:spacing w:line="480" w:lineRule="auto"/>
        <w:jc w:val="both"/>
        <w:rPr>
          <w:rFonts w:ascii="David" w:hAnsi="David"/>
          <w:b/>
          <w:bCs/>
          <w:spacing w:val="6"/>
        </w:rPr>
      </w:pPr>
      <w:r>
        <w:rPr>
          <w:rFonts w:ascii="David" w:hAnsi="David"/>
          <w:b/>
          <w:bCs/>
          <w:spacing w:val="6"/>
          <w:rtl/>
        </w:rPr>
        <w:t>סוף דבר</w:t>
      </w:r>
    </w:p>
    <w:p w:rsidR="00917435" w:rsidRDefault="00917435" w:rsidP="002C71AC">
      <w:pPr>
        <w:pStyle w:val="ad"/>
        <w:numPr>
          <w:ilvl w:val="0"/>
          <w:numId w:val="1"/>
        </w:numPr>
        <w:spacing w:line="480" w:lineRule="auto"/>
        <w:jc w:val="both"/>
        <w:rPr>
          <w:rFonts w:ascii="David" w:hAnsi="David" w:cs="David"/>
          <w:spacing w:val="6"/>
          <w:sz w:val="24"/>
          <w:szCs w:val="24"/>
        </w:rPr>
      </w:pPr>
      <w:r>
        <w:rPr>
          <w:rFonts w:ascii="David" w:hAnsi="David" w:cs="David"/>
          <w:spacing w:val="6"/>
          <w:sz w:val="24"/>
          <w:szCs w:val="24"/>
          <w:rtl/>
        </w:rPr>
        <w:t>התביעה כנגד הנתבע 3 נמחקת בזאת מחוסר עילה</w:t>
      </w:r>
      <w:r w:rsidR="00931908">
        <w:rPr>
          <w:rFonts w:ascii="David" w:hAnsi="David" w:cs="David" w:hint="cs"/>
          <w:spacing w:val="6"/>
          <w:sz w:val="24"/>
          <w:szCs w:val="24"/>
          <w:rtl/>
        </w:rPr>
        <w:t>, בהתא</w:t>
      </w:r>
      <w:r w:rsidR="002C71AC">
        <w:rPr>
          <w:rFonts w:ascii="David" w:hAnsi="David" w:cs="David" w:hint="cs"/>
          <w:spacing w:val="6"/>
          <w:sz w:val="24"/>
          <w:szCs w:val="24"/>
          <w:rtl/>
        </w:rPr>
        <w:t>ם</w:t>
      </w:r>
      <w:r w:rsidR="00931908">
        <w:rPr>
          <w:rFonts w:ascii="David" w:hAnsi="David" w:cs="David" w:hint="cs"/>
          <w:spacing w:val="6"/>
          <w:sz w:val="24"/>
          <w:szCs w:val="24"/>
          <w:rtl/>
        </w:rPr>
        <w:t xml:space="preserve"> לסמכותי על </w:t>
      </w:r>
      <w:r w:rsidR="002C71AC">
        <w:rPr>
          <w:rFonts w:ascii="David" w:hAnsi="David" w:cs="David" w:hint="cs"/>
          <w:spacing w:val="6"/>
          <w:sz w:val="24"/>
          <w:szCs w:val="24"/>
          <w:rtl/>
        </w:rPr>
        <w:t>פ</w:t>
      </w:r>
      <w:r w:rsidR="00931908">
        <w:rPr>
          <w:rFonts w:ascii="David" w:hAnsi="David" w:cs="David" w:hint="cs"/>
          <w:spacing w:val="6"/>
          <w:sz w:val="24"/>
          <w:szCs w:val="24"/>
          <w:rtl/>
        </w:rPr>
        <w:t>י תקנה 41</w:t>
      </w:r>
      <w:r w:rsidR="00EC779D">
        <w:rPr>
          <w:rFonts w:ascii="David" w:hAnsi="David" w:cs="David" w:hint="cs"/>
          <w:spacing w:val="6"/>
          <w:sz w:val="24"/>
          <w:szCs w:val="24"/>
          <w:rtl/>
        </w:rPr>
        <w:t>(א)(1) לתקנות סדר הדין האזרחי התשע"ט</w:t>
      </w:r>
      <w:r w:rsidR="002C71AC">
        <w:rPr>
          <w:rFonts w:ascii="David" w:hAnsi="David" w:cs="David" w:hint="cs"/>
          <w:spacing w:val="6"/>
          <w:sz w:val="24"/>
          <w:szCs w:val="24"/>
          <w:rtl/>
        </w:rPr>
        <w:t>-2018</w:t>
      </w:r>
      <w:r>
        <w:rPr>
          <w:rFonts w:ascii="David" w:hAnsi="David" w:cs="David"/>
          <w:spacing w:val="6"/>
          <w:sz w:val="24"/>
          <w:szCs w:val="24"/>
          <w:rtl/>
        </w:rPr>
        <w:t>.</w:t>
      </w:r>
    </w:p>
    <w:p w:rsidR="00917435" w:rsidRPr="00A77334" w:rsidRDefault="00917435" w:rsidP="00A77334">
      <w:pPr>
        <w:spacing w:line="480" w:lineRule="auto"/>
        <w:ind w:left="360"/>
        <w:jc w:val="both"/>
        <w:rPr>
          <w:rFonts w:ascii="David" w:hAnsi="David"/>
          <w:spacing w:val="6"/>
        </w:rPr>
      </w:pPr>
      <w:r w:rsidRPr="00A77334">
        <w:rPr>
          <w:rFonts w:ascii="David" w:hAnsi="David"/>
          <w:spacing w:val="6"/>
          <w:rtl/>
        </w:rPr>
        <w:lastRenderedPageBreak/>
        <w:t>הנתבע 2 ימחק מכתב התביעה לאור אחריות הנתבעת 1 אשר תבוא בנעליו ככל שימצא אחראי לנזקי התובע.</w:t>
      </w:r>
    </w:p>
    <w:p w:rsidR="00917435" w:rsidRDefault="00917435" w:rsidP="00FA2240">
      <w:pPr>
        <w:pStyle w:val="ad"/>
        <w:spacing w:line="480" w:lineRule="auto"/>
        <w:ind w:left="360"/>
        <w:jc w:val="both"/>
        <w:rPr>
          <w:rFonts w:ascii="David" w:hAnsi="David" w:cs="David"/>
          <w:spacing w:val="6"/>
          <w:sz w:val="24"/>
          <w:szCs w:val="24"/>
        </w:rPr>
      </w:pPr>
      <w:r>
        <w:rPr>
          <w:rFonts w:ascii="David" w:hAnsi="David" w:cs="David"/>
          <w:spacing w:val="6"/>
          <w:sz w:val="24"/>
          <w:szCs w:val="24"/>
          <w:rtl/>
        </w:rPr>
        <w:t xml:space="preserve">התביעה כנגד הנתבעת 1 </w:t>
      </w:r>
      <w:r w:rsidR="00FA2240">
        <w:rPr>
          <w:rFonts w:ascii="David" w:hAnsi="David" w:cs="David" w:hint="cs"/>
          <w:spacing w:val="6"/>
          <w:sz w:val="24"/>
          <w:szCs w:val="24"/>
          <w:rtl/>
        </w:rPr>
        <w:t>תצומצם ו</w:t>
      </w:r>
      <w:r>
        <w:rPr>
          <w:rFonts w:ascii="David" w:hAnsi="David" w:cs="David"/>
          <w:spacing w:val="6"/>
          <w:sz w:val="24"/>
          <w:szCs w:val="24"/>
          <w:rtl/>
        </w:rPr>
        <w:t>תתברר</w:t>
      </w:r>
      <w:r w:rsidR="00FA2240">
        <w:rPr>
          <w:rFonts w:ascii="David" w:hAnsi="David" w:cs="David" w:hint="cs"/>
          <w:spacing w:val="6"/>
          <w:sz w:val="24"/>
          <w:szCs w:val="24"/>
          <w:rtl/>
        </w:rPr>
        <w:t xml:space="preserve"> רק</w:t>
      </w:r>
      <w:r>
        <w:rPr>
          <w:rFonts w:ascii="David" w:hAnsi="David" w:cs="David"/>
          <w:spacing w:val="6"/>
          <w:sz w:val="24"/>
          <w:szCs w:val="24"/>
          <w:rtl/>
        </w:rPr>
        <w:t xml:space="preserve"> ביחס לניתוחים וטיפולים שעבר החל משנת 2016 ואילך. עילות התביעה ביחס לניתוחים קדומים יותר נדחות בשל התיישנות.</w:t>
      </w:r>
    </w:p>
    <w:p w:rsidR="00A77334" w:rsidRDefault="00A77334" w:rsidP="00A77334">
      <w:pPr>
        <w:pStyle w:val="ad"/>
        <w:spacing w:line="480" w:lineRule="auto"/>
        <w:ind w:left="360"/>
        <w:jc w:val="both"/>
        <w:rPr>
          <w:rFonts w:ascii="David" w:hAnsi="David" w:cs="David"/>
          <w:spacing w:val="6"/>
          <w:sz w:val="24"/>
          <w:szCs w:val="24"/>
          <w:rtl/>
        </w:rPr>
      </w:pPr>
      <w:r w:rsidRPr="00A77334">
        <w:rPr>
          <w:rFonts w:ascii="David" w:hAnsi="David" w:cs="David"/>
          <w:spacing w:val="6"/>
          <w:sz w:val="24"/>
          <w:szCs w:val="24"/>
          <w:rtl/>
        </w:rPr>
        <w:t>בהתחשב במצבו של התובע ובכך שנעתרתי לבקש</w:t>
      </w:r>
      <w:r>
        <w:rPr>
          <w:rFonts w:ascii="David" w:hAnsi="David" w:cs="David" w:hint="cs"/>
          <w:spacing w:val="6"/>
          <w:sz w:val="24"/>
          <w:szCs w:val="24"/>
          <w:rtl/>
        </w:rPr>
        <w:t>ו</w:t>
      </w:r>
      <w:r w:rsidRPr="00A77334">
        <w:rPr>
          <w:rFonts w:ascii="David" w:hAnsi="David" w:cs="David"/>
          <w:spacing w:val="6"/>
          <w:sz w:val="24"/>
          <w:szCs w:val="24"/>
          <w:rtl/>
        </w:rPr>
        <w:t xml:space="preserve">ת </w:t>
      </w:r>
      <w:r>
        <w:rPr>
          <w:rFonts w:ascii="David" w:hAnsi="David" w:cs="David" w:hint="cs"/>
          <w:spacing w:val="6"/>
          <w:sz w:val="24"/>
          <w:szCs w:val="24"/>
          <w:rtl/>
        </w:rPr>
        <w:t>ה</w:t>
      </w:r>
      <w:r w:rsidRPr="00A77334">
        <w:rPr>
          <w:rFonts w:ascii="David" w:hAnsi="David" w:cs="David"/>
          <w:spacing w:val="6"/>
          <w:sz w:val="24"/>
          <w:szCs w:val="24"/>
          <w:rtl/>
        </w:rPr>
        <w:t>נתבע</w:t>
      </w:r>
      <w:r>
        <w:rPr>
          <w:rFonts w:ascii="David" w:hAnsi="David" w:cs="David" w:hint="cs"/>
          <w:spacing w:val="6"/>
          <w:sz w:val="24"/>
          <w:szCs w:val="24"/>
          <w:rtl/>
        </w:rPr>
        <w:t>ים וטרם</w:t>
      </w:r>
      <w:r w:rsidRPr="00A77334">
        <w:rPr>
          <w:rFonts w:ascii="David" w:hAnsi="David" w:cs="David"/>
          <w:spacing w:val="6"/>
          <w:sz w:val="24"/>
          <w:szCs w:val="24"/>
          <w:rtl/>
        </w:rPr>
        <w:t xml:space="preserve"> הוגש כתב הגנה ו</w:t>
      </w:r>
      <w:r>
        <w:rPr>
          <w:rFonts w:ascii="David" w:hAnsi="David" w:cs="David" w:hint="cs"/>
          <w:spacing w:val="6"/>
          <w:sz w:val="24"/>
          <w:szCs w:val="24"/>
          <w:rtl/>
        </w:rPr>
        <w:t>חוות דעת,</w:t>
      </w:r>
      <w:r w:rsidRPr="00A77334">
        <w:rPr>
          <w:rFonts w:ascii="David" w:hAnsi="David" w:cs="David"/>
          <w:spacing w:val="6"/>
          <w:sz w:val="24"/>
          <w:szCs w:val="24"/>
          <w:rtl/>
        </w:rPr>
        <w:t xml:space="preserve"> איני עושה צו להוצאות. </w:t>
      </w:r>
    </w:p>
    <w:p w:rsidR="00917435" w:rsidRDefault="00917435" w:rsidP="00A77334">
      <w:pPr>
        <w:pStyle w:val="ad"/>
        <w:spacing w:line="480" w:lineRule="auto"/>
        <w:ind w:left="360"/>
        <w:jc w:val="both"/>
        <w:rPr>
          <w:rFonts w:ascii="David" w:hAnsi="David" w:cs="David"/>
          <w:spacing w:val="6"/>
          <w:sz w:val="24"/>
          <w:szCs w:val="24"/>
          <w:rtl/>
        </w:rPr>
      </w:pPr>
      <w:r>
        <w:rPr>
          <w:rFonts w:ascii="David" w:hAnsi="David" w:cs="David"/>
          <w:spacing w:val="6"/>
          <w:sz w:val="24"/>
          <w:szCs w:val="24"/>
          <w:rtl/>
        </w:rPr>
        <w:t>הארכת המועד להגשת כתב הגנה מטעם הנתבעת 1 עד ליום 6.11.23</w:t>
      </w:r>
      <w:r w:rsidR="00372C93">
        <w:rPr>
          <w:rFonts w:ascii="David" w:hAnsi="David" w:cs="David" w:hint="cs"/>
          <w:spacing w:val="6"/>
          <w:sz w:val="24"/>
          <w:szCs w:val="24"/>
          <w:rtl/>
        </w:rPr>
        <w:t>.</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rsidP="00A77334">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ז'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24 אוגוסט 2023</w:t>
          </w:r>
        </w:sdtContent>
      </w:sdt>
      <w:r w:rsidR="00005C8B">
        <w:rPr>
          <w:rFonts w:ascii="Arial" w:hAnsi="Arial"/>
          <w:noProof w:val="0"/>
          <w:rtl/>
        </w:rPr>
        <w:t>, בהעדר הצדדים.</w:t>
      </w:r>
    </w:p>
    <w:p w:rsidR="00C43648" w:rsidRDefault="0070460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79788741"/>
        </w:sdtPr>
        <w:sdtEndPr/>
        <w:sdtContent>
          <w:r w:rsidR="00296F4B">
            <w:drawing>
              <wp:inline distT="0" distB="0" distL="0" distR="0" wp14:editId="50D07946">
                <wp:extent cx="16383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38300" cy="4191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604" w:rsidRDefault="00704604">
      <w:r>
        <w:separator/>
      </w:r>
    </w:p>
  </w:endnote>
  <w:endnote w:type="continuationSeparator" w:id="0">
    <w:p w:rsidR="00704604" w:rsidRDefault="00704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805" w:rsidRDefault="0031280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341C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341C9">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805" w:rsidRDefault="0031280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604" w:rsidRDefault="00704604">
      <w:r>
        <w:separator/>
      </w:r>
    </w:p>
  </w:footnote>
  <w:footnote w:type="continuationSeparator" w:id="0">
    <w:p w:rsidR="00704604" w:rsidRDefault="00704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805" w:rsidRDefault="003128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6E13E3E6" wp14:editId="0C1AF0B5">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4F36A3">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505" w:type="dxa"/>
              <w:gridSpan w:val="2"/>
            </w:tcPr>
            <w:p w:rsidR="00694556" w:rsidRPr="004F36A3" w:rsidRDefault="003D1C8C" w:rsidP="003230C7">
              <w:pPr>
                <w:pStyle w:val="a3"/>
                <w:jc w:val="center"/>
                <w:rPr>
                  <w:rFonts w:ascii="Tahoma" w:hAnsi="Tahoma"/>
                  <w:noProof w:val="0"/>
                  <w:color w:val="000080"/>
                  <w:sz w:val="32"/>
                  <w:szCs w:val="32"/>
                  <w:rtl/>
                </w:rPr>
              </w:pPr>
              <w:r w:rsidRPr="004F36A3">
                <w:rPr>
                  <w:rFonts w:ascii="Tahoma" w:hAnsi="Tahoma"/>
                  <w:b/>
                  <w:bCs/>
                  <w:color w:val="000080"/>
                  <w:sz w:val="32"/>
                  <w:szCs w:val="32"/>
                  <w:rtl/>
                </w:rPr>
                <w:t>בית המשפט המחוזי בתל אביב -יפו</w:t>
              </w:r>
            </w:p>
          </w:tc>
        </w:sdtContent>
      </w:sdt>
    </w:tr>
    <w:tr w:rsidR="004F36A3" w:rsidRPr="004F36A3" w:rsidTr="00167391">
      <w:trPr>
        <w:trHeight w:val="337"/>
        <w:jc w:val="center"/>
      </w:trPr>
      <w:tc>
        <w:tcPr>
          <w:tcW w:w="4923" w:type="dxa"/>
        </w:tcPr>
        <w:p w:rsidR="004F36A3" w:rsidRPr="004F36A3" w:rsidRDefault="00704604" w:rsidP="00563203">
          <w:pPr>
            <w:rPr>
              <w:b/>
              <w:bCs/>
              <w:noProof w:val="0"/>
              <w:sz w:val="26"/>
              <w:szCs w:val="26"/>
              <w:rtl/>
            </w:rPr>
          </w:pPr>
          <w:sdt>
            <w:sdtPr>
              <w:rPr>
                <w:sz w:val="26"/>
                <w:szCs w:val="26"/>
                <w:rtl/>
              </w:rPr>
              <w:alias w:val="1170"/>
              <w:tag w:val="1170"/>
              <w:id w:val="1066377040"/>
              <w:text w:multiLine="1"/>
            </w:sdtPr>
            <w:sdtEndPr/>
            <w:sdtContent>
              <w:r w:rsidR="00EB22C9">
                <w:rPr>
                  <w:b/>
                  <w:bCs/>
                  <w:noProof w:val="0"/>
                  <w:sz w:val="26"/>
                  <w:szCs w:val="26"/>
                  <w:rtl/>
                </w:rPr>
                <w:t>ת"א</w:t>
              </w:r>
            </w:sdtContent>
          </w:sdt>
          <w:r w:rsidR="004F36A3" w:rsidRPr="004F36A3">
            <w:rPr>
              <w:b/>
              <w:bCs/>
              <w:noProof w:val="0"/>
              <w:sz w:val="26"/>
              <w:szCs w:val="26"/>
              <w:rtl/>
            </w:rPr>
            <w:t xml:space="preserve"> </w:t>
          </w:r>
          <w:bookmarkStart w:id="1" w:name="_GoBack"/>
          <w:sdt>
            <w:sdtPr>
              <w:rPr>
                <w:sz w:val="26"/>
                <w:szCs w:val="26"/>
                <w:rtl/>
              </w:rPr>
              <w:alias w:val="1171"/>
              <w:tag w:val="1171"/>
              <w:id w:val="257034231"/>
              <w:text w:multiLine="1"/>
            </w:sdtPr>
            <w:sdtEndPr/>
            <w:sdtContent>
              <w:r w:rsidR="00EB22C9">
                <w:rPr>
                  <w:b/>
                  <w:bCs/>
                  <w:noProof w:val="0"/>
                  <w:sz w:val="26"/>
                  <w:szCs w:val="26"/>
                  <w:rtl/>
                </w:rPr>
                <w:t>4392-03-23</w:t>
              </w:r>
            </w:sdtContent>
          </w:sdt>
          <w:bookmarkEnd w:id="1"/>
        </w:p>
        <w:p w:rsidR="004F36A3" w:rsidRPr="004F36A3" w:rsidRDefault="004F36A3" w:rsidP="007D45E3">
          <w:pPr>
            <w:rPr>
              <w:b/>
              <w:bCs/>
              <w:noProof w:val="0"/>
              <w:sz w:val="26"/>
              <w:szCs w:val="26"/>
              <w:rtl/>
            </w:rPr>
          </w:pPr>
        </w:p>
        <w:p w:rsidR="004F36A3" w:rsidRPr="00066C79" w:rsidRDefault="004F36A3" w:rsidP="00066C79">
          <w:pPr>
            <w:rPr>
              <w:sz w:val="26"/>
              <w:szCs w:val="26"/>
              <w:rtl/>
            </w:rPr>
          </w:pPr>
          <w:r w:rsidRPr="004F36A3">
            <w:rPr>
              <w:rFonts w:hint="cs"/>
              <w:sz w:val="26"/>
              <w:szCs w:val="26"/>
              <w:rtl/>
            </w:rPr>
            <w:t xml:space="preserve">                                                                  </w:t>
          </w:r>
        </w:p>
      </w:tc>
      <w:tc>
        <w:tcPr>
          <w:tcW w:w="3582" w:type="dxa"/>
        </w:tcPr>
        <w:p w:rsidR="004F36A3" w:rsidRPr="004F36A3" w:rsidRDefault="004F36A3">
          <w:pPr>
            <w:pStyle w:val="a3"/>
            <w:jc w:val="right"/>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805" w:rsidRDefault="003128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E05927"/>
    <w:multiLevelType w:val="hybridMultilevel"/>
    <w:tmpl w:val="9DF40A10"/>
    <w:lvl w:ilvl="0" w:tplc="4894B76E">
      <w:start w:val="1"/>
      <w:numFmt w:val="decimal"/>
      <w:lvlText w:val="%1."/>
      <w:lvlJc w:val="left"/>
      <w:pPr>
        <w:ind w:left="502" w:hanging="360"/>
      </w:pPr>
      <w:rPr>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571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57157&amp;lt;/CaseID&amp;gt;_x000d__x000a_        &amp;lt;CaseMonth&amp;gt;3&amp;lt;/CaseMonth&amp;gt;_x000d__x000a_        &amp;lt;CaseYear&amp;gt;2023&amp;lt;/CaseYear&amp;gt;_x000d__x000a_        &amp;lt;CaseNumber&amp;gt;4392&amp;lt;/CaseNumber&amp;gt;_x000d__x000a_        &amp;lt;NumeratorGroupID&amp;gt;1&amp;lt;/NumeratorGroupID&amp;gt;_x000d__x000a_        &amp;lt;CaseName&amp;gt;אלייו נ&amp;#39; 589906114 ואח&amp;#39;&amp;lt;/CaseName&amp;gt;_x000d__x000a_        &amp;lt;CourtID&amp;gt;15&amp;lt;/CourtID&amp;gt;_x000d__x000a_        &amp;lt;CaseTypeID&amp;gt;1&amp;lt;/CaseTypeID&amp;gt;_x000d__x000a_        &amp;lt;CaseInterestID&amp;gt;10445&amp;lt;/CaseInterestID&amp;gt;_x000d__x000a_        &amp;lt;CaseJudgeName&amp;gt;אירית קלמן ברום&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4392-03-23&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3-02T09:57:00+02:00&amp;lt;/CaseOpenDate&amp;gt;_x000d__x000a_        &amp;lt;PleaTypeID&amp;gt;4&amp;lt;/PleaTypeID&amp;gt;_x000d__x000a_        &amp;lt;CourtLevelID&amp;gt;2&amp;lt;/CourtLevelID&amp;gt;_x000d__x000a_        &amp;lt;CourtLevelCaseTypeInterestID&amp;gt;1544&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27.07.23=הועבר ללשכת ש. קלמן ברון ע&amp;quot;י יניב מנהל פקיד עז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57157&amp;lt;/CaseID&amp;gt;_x000d__x000a_        &amp;lt;CaseMonth&amp;gt;3&amp;lt;/CaseMonth&amp;gt;_x000d__x000a_        &amp;lt;CaseYear&amp;gt;2023&amp;lt;/CaseYear&amp;gt;_x000d__x000a_        &amp;lt;CaseNumber&amp;gt;4392&amp;lt;/CaseNumber&amp;gt;_x000d__x000a_        &amp;lt;NumeratorGroupID&amp;gt;1&amp;lt;/NumeratorGroupID&amp;gt;_x000d__x000a_        &amp;lt;CaseName&amp;gt;אלייו נ&amp;#39; 589906114 ואח&amp;#39;&amp;lt;/CaseName&amp;gt;_x000d__x000a_        &amp;lt;CourtID&amp;gt;15&amp;lt;/CourtID&amp;gt;_x000d__x000a_        &amp;lt;CaseTypeID&amp;gt;1&amp;lt;/CaseTypeID&amp;gt;_x000d__x000a_        &amp;lt;CaseInterestID&amp;gt;10445&amp;lt;/CaseInterestID&amp;gt;_x000d__x000a_        &amp;lt;CaseJudgeName&amp;gt;אירית קלמן ברום&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4392-03-23&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41&amp;lt;/CaseNextDeterminingTask&amp;gt;_x000d__x000a_        &amp;lt;CaseOpenDate&amp;gt;2023-03-02T09:57:00+02:00&amp;lt;/CaseOpenDate&amp;gt;_x000d__x000a_        &amp;lt;PleaTypeID&amp;gt;4&amp;lt;/PleaTypeID&amp;gt;_x000d__x000a_        &amp;lt;CourtLevelID&amp;gt;2&amp;lt;/CourtLevelID&amp;gt;_x000d__x000a_        &amp;lt;CourtLevelCaseTypeInterestID&amp;gt;1544&amp;lt;/CourtLevelCaseTypeInterestID&amp;gt;_x000d__x000a_        &amp;lt;CaseJudgeFirstName&amp;gt;אירית&amp;lt;/CaseJudgeFirstName&amp;gt;_x000d__x000a_        &amp;lt;CaseJudgeLastName&amp;gt;קלמן ברום&amp;lt;/CaseJudgeLastName&amp;gt;_x000d__x000a_        &amp;lt;JudicalPersonID&amp;gt;055503858@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27.07.23=הועבר ללשכת ש. קלמן ברון ע&amp;quot;י יניב מנהל פקיד עז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87421&amp;lt;/DecisionID&amp;gt;_x000d__x000a_        &amp;lt;DecisionNumber&amp;gt;7&amp;lt;/DecisionNumber&amp;gt;_x000d__x000a_        &amp;lt;DecisionName&amp;gt;החלטה על בקשה של נתבע 3 בקשה משלימה לסילוק על הסף מטעם נתבע מס&amp;#39; 3 &amp;lt;/DecisionName&amp;gt;_x000d__x000a_        &amp;lt;DecisionStatusID&amp;gt;1&amp;lt;/DecisionStatusID&amp;gt;_x000d__x000a_        &amp;lt;DecisionStatusChangeDate&amp;gt;2023-08-22T13:50:57.74+03:00&amp;lt;/DecisionStatusChangeDate&amp;gt;_x000d__x000a_        &amp;lt;DecisionSignatureDate&amp;gt;2023-08-21T15:55:42.82+03:00&amp;lt;/DecisionSignatureDate&amp;gt;_x000d__x000a_        &amp;lt;DecisionSignatureUserID&amp;gt;055503858@GOV.IL&amp;lt;/DecisionSignatureUserID&amp;gt;_x000d__x000a_        &amp;lt;DecisionCreateDate&amp;gt;2023-08-21T15:46:48.59+03:00&amp;lt;/DecisionCreateDate&amp;gt;_x000d__x000a_        &amp;lt;DecisionChangeDate&amp;gt;2023-08-22T13:50:57.79+03:00&amp;lt;/DecisionChangeDate&amp;gt;_x000d__x000a_        &amp;lt;DecisionChangeUserID&amp;gt;05550385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982401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50385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71074@GOV.IL&amp;lt;/DecisionCreationUserID&amp;gt;_x000d__x000a_        &amp;lt;DecisionDisplayName&amp;gt;החלטה על בקשה של נתבע 3 בקשה משלימה לסילוק על הסף מטעם נתבע מס&amp;#39; 3 &amp;lt;/DecisionDisplayName&amp;gt;_x000d__x000a_        &amp;lt;IsScanned&amp;gt;false&amp;lt;/IsScanned&amp;gt;_x000d__x000a_        &amp;lt;DecisionSignatureUserName&amp;gt;אירית קלמן ברו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46787421&amp;lt;/DecisionID&amp;gt;_x000d__x000a_        &amp;lt;CaseID&amp;gt;80057157&amp;lt;/CaseID&amp;gt;_x000d__x000a_        &amp;lt;IsOriginal&amp;gt;true&amp;lt;/IsOriginal&amp;gt;_x000d__x000a_        &amp;lt;IsDeleted&amp;gt;false&amp;lt;/IsDeleted&amp;gt;_x000d__x000a_        &amp;lt;CaseName&amp;gt;אלייו נ&amp;#39; 589906114 ואח&amp;#39;&amp;lt;/CaseName&amp;gt;_x000d__x000a_        &amp;lt;CaseDisplayIdentifier&amp;gt;4392-03-23 ת&amp;quot;א&amp;lt;/CaseDisplayIdentifier&amp;gt;_x000d__x000a_      &amp;lt;/dt_DecisionCase&amp;gt;_x000d__x000a_      &amp;lt;dt_DecisionMotion diffgr:id=&amp;quot;dt_DecisionMotion1&amp;quot; msdata:rowOrder=&amp;quot;0&amp;quot;&amp;gt;_x000d__x000a_        &amp;lt;DecisionID&amp;gt;146787421&amp;lt;/DecisionID&amp;gt;_x000d__x000a_        &amp;lt;MotionID&amp;gt;105522443&amp;lt;/MotionID&amp;gt;_x000d__x000a_        &amp;lt;IsOriginalMotion&amp;gt;true&amp;lt;/IsOriginalMotion&amp;gt;_x000d__x000a_        &amp;lt;MotionName&amp;gt;בקשה של נתבע 3 בקשה משלימה לסילוק על הסף מטעם נתבע מס&amp;#39; 3 &amp;lt;/MotionName&amp;gt;_x000d__x000a_        &amp;lt;MotionOpenDate&amp;gt;2023-06-25T11:35:00.347+03:00&amp;lt;/MotionOpenDate&amp;gt;_x000d__x000a_        &amp;lt;CaseID&amp;gt;80057157&amp;lt;/CaseID&amp;gt;_x000d__x000a_        &amp;lt;CaseDisplayIdentifier&amp;gt;4392-03-23 ת&amp;quot;א&amp;lt;/CaseDisplayIdentifier&amp;gt;_x000d__x000a_        &amp;lt;ProcessNumber&amp;gt;7&amp;lt;/ProcessNumber&amp;gt;_x000d__x000a_        &amp;lt;ListOfProcessIds&amp;gt;7&amp;lt;/ListOfProcessIds&amp;gt;_x000d__x000a_      &amp;lt;/dt_DecisionMotion&amp;gt;_x000d__x000a_    &amp;lt;/DecisionDS&amp;gt;_x000d__x000a_  &amp;lt;/diffgr:diffgram&amp;gt;_x000d__x000a_&amp;lt;/DecisionDS&amp;gt;"/>
    <w:docVar w:name="DecisionID" w:val="146787421"/>
    <w:docVar w:name="WordClientAssemblyName" w:val="NGCS.Decision.ClientWordBL"/>
    <w:docVar w:name="WordClientClassName" w:val="NGCS.Decision.ClientWordBL.DecisionClient"/>
  </w:docVars>
  <w:rsids>
    <w:rsidRoot w:val="00694556"/>
    <w:rsid w:val="00000062"/>
    <w:rsid w:val="0000110B"/>
    <w:rsid w:val="0000226B"/>
    <w:rsid w:val="00005C8B"/>
    <w:rsid w:val="000529D2"/>
    <w:rsid w:val="0005408D"/>
    <w:rsid w:val="000564AB"/>
    <w:rsid w:val="00064FBD"/>
    <w:rsid w:val="00066C79"/>
    <w:rsid w:val="00082AB2"/>
    <w:rsid w:val="000906FE"/>
    <w:rsid w:val="00093D85"/>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1D3F"/>
    <w:rsid w:val="001C4003"/>
    <w:rsid w:val="001C75BD"/>
    <w:rsid w:val="001D4DBF"/>
    <w:rsid w:val="001E75CA"/>
    <w:rsid w:val="002265FF"/>
    <w:rsid w:val="002379A1"/>
    <w:rsid w:val="00271B56"/>
    <w:rsid w:val="00273C99"/>
    <w:rsid w:val="00296F4B"/>
    <w:rsid w:val="002C344E"/>
    <w:rsid w:val="002C71AC"/>
    <w:rsid w:val="002E75E9"/>
    <w:rsid w:val="00307A6A"/>
    <w:rsid w:val="00307C40"/>
    <w:rsid w:val="00312805"/>
    <w:rsid w:val="00320433"/>
    <w:rsid w:val="003230C7"/>
    <w:rsid w:val="00327E50"/>
    <w:rsid w:val="0033597A"/>
    <w:rsid w:val="00353C94"/>
    <w:rsid w:val="00360B68"/>
    <w:rsid w:val="00362612"/>
    <w:rsid w:val="0036743F"/>
    <w:rsid w:val="003715DD"/>
    <w:rsid w:val="00372C93"/>
    <w:rsid w:val="003823E0"/>
    <w:rsid w:val="003A4521"/>
    <w:rsid w:val="003D1C8C"/>
    <w:rsid w:val="0040096C"/>
    <w:rsid w:val="00414F1F"/>
    <w:rsid w:val="0041526E"/>
    <w:rsid w:val="0043125D"/>
    <w:rsid w:val="0043502B"/>
    <w:rsid w:val="00437E9D"/>
    <w:rsid w:val="004443AC"/>
    <w:rsid w:val="00451E28"/>
    <w:rsid w:val="00462C62"/>
    <w:rsid w:val="00465D36"/>
    <w:rsid w:val="00473B61"/>
    <w:rsid w:val="004C4BDF"/>
    <w:rsid w:val="004C52EF"/>
    <w:rsid w:val="004D1187"/>
    <w:rsid w:val="004D3AA0"/>
    <w:rsid w:val="004E1987"/>
    <w:rsid w:val="004E2E15"/>
    <w:rsid w:val="004E6E3C"/>
    <w:rsid w:val="004F36A3"/>
    <w:rsid w:val="00513514"/>
    <w:rsid w:val="00520898"/>
    <w:rsid w:val="00523621"/>
    <w:rsid w:val="00524986"/>
    <w:rsid w:val="005268F6"/>
    <w:rsid w:val="00534284"/>
    <w:rsid w:val="00547DB7"/>
    <w:rsid w:val="00560240"/>
    <w:rsid w:val="00563203"/>
    <w:rsid w:val="005F4A7D"/>
    <w:rsid w:val="005F4F09"/>
    <w:rsid w:val="005F5E5D"/>
    <w:rsid w:val="0061431B"/>
    <w:rsid w:val="0062202C"/>
    <w:rsid w:val="00622BAA"/>
    <w:rsid w:val="006306CF"/>
    <w:rsid w:val="00644E9A"/>
    <w:rsid w:val="00671BD5"/>
    <w:rsid w:val="006805C1"/>
    <w:rsid w:val="00686C21"/>
    <w:rsid w:val="006931C1"/>
    <w:rsid w:val="00694556"/>
    <w:rsid w:val="006C30C5"/>
    <w:rsid w:val="006D0BE9"/>
    <w:rsid w:val="006D3B31"/>
    <w:rsid w:val="006D7CD6"/>
    <w:rsid w:val="006E0D96"/>
    <w:rsid w:val="006E1A53"/>
    <w:rsid w:val="006F5637"/>
    <w:rsid w:val="00704604"/>
    <w:rsid w:val="00704EDA"/>
    <w:rsid w:val="00721122"/>
    <w:rsid w:val="007234B8"/>
    <w:rsid w:val="00753019"/>
    <w:rsid w:val="00754801"/>
    <w:rsid w:val="00785242"/>
    <w:rsid w:val="00795365"/>
    <w:rsid w:val="007A351D"/>
    <w:rsid w:val="007B7765"/>
    <w:rsid w:val="007D45E3"/>
    <w:rsid w:val="007E6115"/>
    <w:rsid w:val="007F4609"/>
    <w:rsid w:val="008070B3"/>
    <w:rsid w:val="008176A1"/>
    <w:rsid w:val="00820005"/>
    <w:rsid w:val="00840AFE"/>
    <w:rsid w:val="00844318"/>
    <w:rsid w:val="00854E1E"/>
    <w:rsid w:val="00870890"/>
    <w:rsid w:val="00873602"/>
    <w:rsid w:val="00875D12"/>
    <w:rsid w:val="0088479D"/>
    <w:rsid w:val="00896889"/>
    <w:rsid w:val="008C5714"/>
    <w:rsid w:val="008D10B2"/>
    <w:rsid w:val="00903896"/>
    <w:rsid w:val="00906F3D"/>
    <w:rsid w:val="009127A0"/>
    <w:rsid w:val="00917435"/>
    <w:rsid w:val="00931908"/>
    <w:rsid w:val="0094424E"/>
    <w:rsid w:val="009622DF"/>
    <w:rsid w:val="00967875"/>
    <w:rsid w:val="00967DFF"/>
    <w:rsid w:val="00994341"/>
    <w:rsid w:val="009D1A48"/>
    <w:rsid w:val="009E1CE7"/>
    <w:rsid w:val="009E4EA5"/>
    <w:rsid w:val="009F164B"/>
    <w:rsid w:val="009F323C"/>
    <w:rsid w:val="00A3392B"/>
    <w:rsid w:val="00A77334"/>
    <w:rsid w:val="00A914C6"/>
    <w:rsid w:val="00A94B64"/>
    <w:rsid w:val="00AA3229"/>
    <w:rsid w:val="00AA7596"/>
    <w:rsid w:val="00AB5E52"/>
    <w:rsid w:val="00AC3B02"/>
    <w:rsid w:val="00AC3B7B"/>
    <w:rsid w:val="00AC5209"/>
    <w:rsid w:val="00AE729E"/>
    <w:rsid w:val="00AE7752"/>
    <w:rsid w:val="00AF7FDA"/>
    <w:rsid w:val="00B04270"/>
    <w:rsid w:val="00B5356E"/>
    <w:rsid w:val="00B809AD"/>
    <w:rsid w:val="00B80CBD"/>
    <w:rsid w:val="00B86096"/>
    <w:rsid w:val="00BA0A7C"/>
    <w:rsid w:val="00BA517C"/>
    <w:rsid w:val="00BB3D05"/>
    <w:rsid w:val="00BB73BE"/>
    <w:rsid w:val="00BC2D89"/>
    <w:rsid w:val="00BD6531"/>
    <w:rsid w:val="00BE05B2"/>
    <w:rsid w:val="00BF1908"/>
    <w:rsid w:val="00C22D93"/>
    <w:rsid w:val="00C31120"/>
    <w:rsid w:val="00C34482"/>
    <w:rsid w:val="00C43648"/>
    <w:rsid w:val="00C4558C"/>
    <w:rsid w:val="00C50A9F"/>
    <w:rsid w:val="00C642FA"/>
    <w:rsid w:val="00CA685B"/>
    <w:rsid w:val="00CC7622"/>
    <w:rsid w:val="00CF4AD5"/>
    <w:rsid w:val="00D27982"/>
    <w:rsid w:val="00D33B86"/>
    <w:rsid w:val="00D53924"/>
    <w:rsid w:val="00D55D0C"/>
    <w:rsid w:val="00D82D88"/>
    <w:rsid w:val="00D96D8C"/>
    <w:rsid w:val="00DA6649"/>
    <w:rsid w:val="00DB5108"/>
    <w:rsid w:val="00DB7BD1"/>
    <w:rsid w:val="00DC1259"/>
    <w:rsid w:val="00DC1BD2"/>
    <w:rsid w:val="00DC2571"/>
    <w:rsid w:val="00DC487C"/>
    <w:rsid w:val="00DE6BF6"/>
    <w:rsid w:val="00DF1547"/>
    <w:rsid w:val="00E03834"/>
    <w:rsid w:val="00E05626"/>
    <w:rsid w:val="00E1068A"/>
    <w:rsid w:val="00E10A94"/>
    <w:rsid w:val="00E25884"/>
    <w:rsid w:val="00E31C2B"/>
    <w:rsid w:val="00E341C9"/>
    <w:rsid w:val="00E44DE6"/>
    <w:rsid w:val="00E5426A"/>
    <w:rsid w:val="00E54642"/>
    <w:rsid w:val="00E61AB7"/>
    <w:rsid w:val="00E628DB"/>
    <w:rsid w:val="00E80CBE"/>
    <w:rsid w:val="00E962E3"/>
    <w:rsid w:val="00E97B5C"/>
    <w:rsid w:val="00EB22C9"/>
    <w:rsid w:val="00EB5881"/>
    <w:rsid w:val="00EB6C79"/>
    <w:rsid w:val="00EC37E9"/>
    <w:rsid w:val="00EC779D"/>
    <w:rsid w:val="00EF51EC"/>
    <w:rsid w:val="00F06995"/>
    <w:rsid w:val="00F13623"/>
    <w:rsid w:val="00F21167"/>
    <w:rsid w:val="00F25323"/>
    <w:rsid w:val="00F25CEE"/>
    <w:rsid w:val="00F44D1D"/>
    <w:rsid w:val="00F636E9"/>
    <w:rsid w:val="00F84B6D"/>
    <w:rsid w:val="00F852D0"/>
    <w:rsid w:val="00FA2240"/>
    <w:rsid w:val="00FA5FDA"/>
    <w:rsid w:val="00FD1419"/>
    <w:rsid w:val="00FD79E4"/>
    <w:rsid w:val="00FE2894"/>
    <w:rsid w:val="00FF6C6D"/>
    <w:rsid w:val="00FF7B9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17435"/>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03963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732518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5137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35BAA" w:rsidP="00035BAA">
          <w:pPr>
            <w:pStyle w:val="E460D38E05664FF79D4EFF282EF8EC991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35BAA"/>
    <w:rsid w:val="001011BF"/>
    <w:rsid w:val="00111905"/>
    <w:rsid w:val="001224BC"/>
    <w:rsid w:val="002041E8"/>
    <w:rsid w:val="002D02C4"/>
    <w:rsid w:val="00345C9D"/>
    <w:rsid w:val="0036134B"/>
    <w:rsid w:val="0048651F"/>
    <w:rsid w:val="004E1A89"/>
    <w:rsid w:val="00556D67"/>
    <w:rsid w:val="005B6DCE"/>
    <w:rsid w:val="00793995"/>
    <w:rsid w:val="007C6F98"/>
    <w:rsid w:val="007D6678"/>
    <w:rsid w:val="008B4366"/>
    <w:rsid w:val="009133C7"/>
    <w:rsid w:val="00961B27"/>
    <w:rsid w:val="00965FFC"/>
    <w:rsid w:val="00AA7CE3"/>
    <w:rsid w:val="00B91FA3"/>
    <w:rsid w:val="00C96C06"/>
    <w:rsid w:val="00D46176"/>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35BA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36134B"/>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36134B"/>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1011BF"/>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1011BF"/>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7D6678"/>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7D6678"/>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7D6678"/>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7D6678"/>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2041E8"/>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2041E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2041E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2041E8"/>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4E1A89"/>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4E1A89"/>
    <w:pPr>
      <w:bidi/>
      <w:spacing w:after="0" w:line="240" w:lineRule="auto"/>
    </w:pPr>
    <w:rPr>
      <w:rFonts w:ascii="Times New Roman" w:eastAsia="Times New Roman" w:hAnsi="Times New Roman" w:cs="David"/>
      <w:noProof/>
      <w:sz w:val="24"/>
      <w:szCs w:val="24"/>
    </w:rPr>
  </w:style>
  <w:style w:type="paragraph" w:customStyle="1" w:styleId="5BCB7A09CE4A43EF99E241F30D3726A2">
    <w:name w:val="5BCB7A09CE4A43EF99E241F30D3726A2"/>
    <w:rsid w:val="004E1A89"/>
    <w:pPr>
      <w:bidi/>
      <w:spacing w:after="160" w:line="259" w:lineRule="auto"/>
    </w:pPr>
  </w:style>
  <w:style w:type="paragraph" w:customStyle="1" w:styleId="DADC74F5F6214AA69EBB456AB3DABD72">
    <w:name w:val="DADC74F5F6214AA69EBB456AB3DABD72"/>
    <w:rsid w:val="004E1A89"/>
    <w:pPr>
      <w:bidi/>
      <w:spacing w:after="160" w:line="259" w:lineRule="auto"/>
    </w:pPr>
  </w:style>
  <w:style w:type="paragraph" w:customStyle="1" w:styleId="E460D38E05664FF79D4EFF282EF8EC9916">
    <w:name w:val="E460D38E05664FF79D4EFF282EF8EC9916"/>
    <w:rsid w:val="00D46176"/>
    <w:pPr>
      <w:bidi/>
      <w:spacing w:after="0" w:line="240" w:lineRule="auto"/>
    </w:pPr>
    <w:rPr>
      <w:rFonts w:ascii="Times New Roman" w:eastAsia="Times New Roman" w:hAnsi="Times New Roman" w:cs="David"/>
      <w:noProof/>
      <w:sz w:val="24"/>
      <w:szCs w:val="24"/>
    </w:rPr>
  </w:style>
  <w:style w:type="paragraph" w:customStyle="1" w:styleId="5BCB7A09CE4A43EF99E241F30D3726A21">
    <w:name w:val="5BCB7A09CE4A43EF99E241F30D3726A21"/>
    <w:rsid w:val="00D46176"/>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46176"/>
    <w:pPr>
      <w:bidi/>
      <w:spacing w:after="0" w:line="240" w:lineRule="auto"/>
    </w:pPr>
    <w:rPr>
      <w:rFonts w:ascii="Times New Roman" w:eastAsia="Times New Roman" w:hAnsi="Times New Roman" w:cs="David"/>
      <w:noProof/>
      <w:sz w:val="24"/>
      <w:szCs w:val="24"/>
    </w:rPr>
  </w:style>
  <w:style w:type="paragraph" w:customStyle="1" w:styleId="5BCB7A09CE4A43EF99E241F30D3726A22">
    <w:name w:val="5BCB7A09CE4A43EF99E241F30D3726A22"/>
    <w:rsid w:val="00D46176"/>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965FFC"/>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035BA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צד</PartyTypeName>
        <ProceedingType>בקשות</ProceedingType>
        <PleaName>בקשה של נתבע 3 בקשה משלימה לסילוק על הסף מטעם נתבע מס' 3 </PleaName>
        <PartyBelonging>צד א'</PartyBelonging>
        <RoleName>מבקש 1</RoleName>
        <IsSubProceeding>TRUE</IsSubProceeding>
        <FullName>בית חולים לניאדו 580082014</FullName>
        <FirstName>בית חולים לניאדו</FirstName>
        <LastName>580082014</LastName>
        <PartyPropertyName/>
        <AuthenticationTypeAndNumber>ת"ז </AuthenticationTypeAndNumber>
        <RepresentatedOrRepresentativesNames>איתן האזרחי</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257458586</CasePartyID>
        <PartyTypeID>1</PartyTypeID>
        <ActivityStatusID>1</ActivityStatusID>
        <PartyAliasID>3</PartyAliasID>
        <PartyAliasName>מבקש</PartyAliasName>
        <OrdinalNumber>1</OrdinalNumber>
        <LegalEntityID>81073553</LegalEntityID>
        <CaseLegalEntityID>123435186</CaseLegalEntityID>
        <AuthenticationTypeID>1</AuthenticationTypeID>
        <AuthenticationTypeName>ת"ז</AuthenticationTypeName>
        <IsMainPartyType>false</IsMainPartyType>
        <CaseDisplayIdentifier>4392-03-23</CaseDisplayIdentifier>
        <CaseTypeID>1</CaseTypeID>
        <CaseTypeName>תיק אזרחי בסדר דין רגיל (ת"א)</CaseTypeName>
        <CaseName>אלייו נ' 589906114 ואח'</CaseName>
        <FullAddress>דברי חיים 16 נתניה </FullAddress>
        <MotionID>105522443</MotionID>
        <CasePleaID>0</CasePleaID>
        <LinkedCaseID>0</LinkedCaseID>
        <PartyID>1</PartyID>
        <CasePartyCategoryID>4</CasePartyCategoryID>
        <LegalEntityAddressID>87634776</LegalEntityAddressID>
        <PleaTypeID>60</PleaTypeID>
        <GroupPartyAlias>מבקשים</GroupPartyAlias>
        <IsConverted>false</IsConverted>
        <LegalEntityNameID>94513685</LegalEntityNameID>
        <RepresentatedNamesOfAssistant/>
        <LegalEntityTypeID>1</LegalEntityTypeID>
        <IsVerdictExists>false</IsVerdictExists>
        <IsAsirAzir>false</IsAsirAzir>
        <IsPublicationProhibited>false</IsPublicationProhibited>
        <PublicationProhibitedFullName>בית חולים לניאדו 580082014</PublicationProhibitedFullName>
      </CaseParties>
      <CaseParties>
        <PartyTypeName>צד</PartyTypeName>
        <ProceedingType>בקשות</ProceedingType>
        <PleaName>בקשה של נתבע 3 בקשה משלימה לסילוק על הסף מטעם נתבע מס' 3 </PleaName>
        <PartyBelonging>צד ב'</PartyBelonging>
        <RoleName>משיב 1</RoleName>
        <IsSubProceeding>TRUE</IsSubProceeding>
        <FullName>רחמים אלייו</FullName>
        <FirstName>רחמים</FirstName>
        <LastName>אלייו</LastName>
        <PartyPropertyName/>
        <AuthenticationTypeAndNumber>ת"ז 311405294</AuthenticationTypeAndNumber>
        <RepresentatedOrRepresentativesNames>אסף נוי</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257458587</CasePartyID>
        <PartyTypeID>1</PartyTypeID>
        <ActivityStatusID>1</ActivityStatusID>
        <PartyAliasID>4</PartyAliasID>
        <PartyAliasName>משיב</PartyAliasName>
        <OrdinalNumber>1</OrdinalNumber>
        <LegalEntityID>78082961</LegalEntityID>
        <CaseLegalEntityID>123435187</CaseLegalEntityID>
        <AuthenticationTypeID>1</AuthenticationTypeID>
        <AuthenticationTypeName>ת"ז</AuthenticationTypeName>
        <LegalEntityNumber>311405294</LegalEntityNumber>
        <IsMainPartyType>false</IsMainPartyType>
        <CaseDisplayIdentifier>4392-03-23</CaseDisplayIdentifier>
        <CaseTypeID>1</CaseTypeID>
        <CaseTypeName>תיק אזרחי בסדר דין רגיל (ת"א)</CaseTypeName>
        <CaseName>אלייו נ' 589906114 ואח'</CaseName>
        <FullAddress>שדרות בן צבי 78 נתניה </FullAddress>
        <MotionID>105522443</MotionID>
        <CasePleaID>0</CasePleaID>
        <FatherName>ברהנה</FatherName>
        <LinkedCaseID>0</LinkedCaseID>
        <PartyID>2</PartyID>
        <CasePartyCategoryID>4</CasePartyCategoryID>
        <LegalEntityAddressID>87634225</LegalEntityAddressID>
        <PleaTypeID>60</PleaTypeID>
        <GroupPartyAlias>משיבים</GroupPartyAlias>
        <IsConverted>false</IsConverted>
        <LegalEntityRegisteredNameID>8572349</LegalEntityRegisteredNameID>
        <LegalEntityNameID>94513686</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אסף נוי</FullName>
        <FirstName>אסף</FirstName>
        <LastName>נוי</LastName>
        <PartyPropertyName/>
        <AuthenticationTypeAndNumber>מ.ר. 38351</AuthenticationTypeAndNumber>
        <RepresentatedOrRepresentativesNames>רחמים אלייו</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252714799</CasePartyID>
        <PartyTypeID>2</PartyTypeID>
        <ActivityStatusID>1</ActivityStatusID>
        <PartyAliasID>20</PartyAliasID>
        <PartyAliasName>בא כוח תובעים</PartyAliasName>
        <OrdinalNumber>1</OrdinalNumber>
        <LegalEntityID>409088</LegalEntityID>
        <CaseLegalEntityID>123435188</CaseLegalEntityID>
        <AuthenticationTypeID>4</AuthenticationTypeID>
        <AuthenticationTypeName>מ.ר.</AuthenticationTypeName>
        <LegalEntityNumber>38351</LegalEntityNumber>
        <IsMainPartyType>true</IsMainPartyType>
        <CaseDisplayIdentifier>4392-03-23</CaseDisplayIdentifier>
        <CaseTypeID>1</CaseTypeID>
        <CaseTypeName>תיק אזרחי בסדר דין רגיל (ת"א)</CaseTypeName>
        <CaseName>אלייו נ' 589906114 ואח'</CaseName>
        <FullAddress>רוטשילד 57 כפר סבא ת.ד 899</FullAddress>
        <EmailAddress>noyassaf@gmail.com</EmailAddress>
        <MotionID>0</MotionID>
        <CasePleaID>0</CasePleaID>
        <FatherName xml:space="preserve">        </FatherName>
        <LinkedCaseID>0</LinkedCaseID>
        <PartyID>1</PartyID>
        <CasePartyCategoryID>2</CasePartyCategoryID>
        <LegalEntityAddressID>70249790</LegalEntityAddressID>
        <LegalEntityEmailAddressID>67829301</LegalEntityEmailAddressID>
        <PleaTypeID>4</PleaTypeID>
        <LawyerOfficeName>משרד עו"ד: אסף נוי</LawyerOfficeName>
        <LawyerOfficeID>449732</LawyerOfficeID>
        <GroupPartyAlias/>
        <IsConverted>false</IsConverted>
        <LegalEntityNameID>30072</LegalEntityNameID>
        <RepresentatedNamesOfAssistant/>
        <LegalEntityTypeID>4</LegalEntityTypeID>
        <IsVerdictExists>false</IsVerdictExists>
        <IsAsirAzir>false</IsAsirAzir>
        <IsPublicationProhibited>false</IsPublicationProhibited>
        <PublicationProhibitedFullName>אסף נוי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איתן האזרחי</FullName>
        <FirstName>איתן</FirstName>
        <LastName>האזרחי</LastName>
        <PartyPropertyName/>
        <AuthenticationTypeAndNumber>מ.ר. 14159</AuthenticationTypeAndNumber>
        <RepresentatedOrRepresentativesNames>בית חולים לניאדו 580082014</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255707268</CasePartyID>
        <PartyTypeID>2</PartyTypeID>
        <ActivityStatusID>1</ActivityStatusID>
        <PartyAliasID>21</PartyAliasID>
        <PartyAliasName>בא כוח נתבעים</PartyAliasName>
        <OrdinalNumber>1</OrdinalNumber>
        <LegalEntityID>382693</LegalEntityID>
        <CaseLegalEntityID>124357236</CaseLegalEntityID>
        <AuthenticationTypeID>4</AuthenticationTypeID>
        <AuthenticationTypeName>מ.ר.</AuthenticationTypeName>
        <LegalEntityNumber>14159</LegalEntityNumber>
        <IsMainPartyType>true</IsMainPartyType>
        <CaseDisplayIdentifier>4392-03-23</CaseDisplayIdentifier>
        <CaseTypeID>1</CaseTypeID>
        <CaseTypeName>תיק אזרחי בסדר דין רגיל (ת"א)</CaseTypeName>
        <CaseName>אלייו נ' 589906114 ואח'</CaseName>
        <FullAddress>בן זכאי 6 תל אביב -יפו </FullAddress>
        <EmailAddress>office@sh-ez.com</EmailAddress>
        <MotionID>0</MotionID>
        <CasePleaID>0</CasePleaID>
        <FatherName xml:space="preserve">        </FatherName>
        <LinkedCaseID>0</LinkedCaseID>
        <PartyID>2</PartyID>
        <CasePartyCategoryID>2</CasePartyCategoryID>
        <LegalEntityAddressID>425675</LegalEntityAddressID>
        <LegalEntityEmailAddressID>67901181</LegalEntityEmailAddressID>
        <PleaTypeID>4</PleaTypeID>
        <LawyerOfficeName>משרד עו"ד: איתן האזרחי</LawyerOfficeName>
        <LawyerOfficeID>423337</LawyerOfficeID>
        <GroupPartyAlias/>
        <IsConverted>false</IsConverted>
        <LegalEntityNameID>3677</LegalEntityNameID>
        <RepresentatedNamesOfAssistant/>
        <LegalEntityTypeID>4</LegalEntityTypeID>
        <IsVerdictExists>false</IsVerdictExists>
        <IsAsirAzir>false</IsAsirAzir>
        <IsPublicationProhibited>false</IsPublicationProhibited>
        <PublicationProhibitedFullName>איתן האזרחי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אריה כרמלי</FullName>
        <FirstName>אריה</FirstName>
        <LastName>כרמלי</LastName>
        <PartyPropertyName/>
        <AuthenticationTypeAndNumber>מ.ר. 6151</AuthenticationTypeAndNumber>
        <RepresentatedOrRepresentativesNames>בית חולים מאיר - כללית 589906114, קופת חולים כללית 589906114</RepresentatedOrRepresentativesNames>
        <RepresentatedOrRepresentativesCount>2</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253799156</CasePartyID>
        <PartyTypeID>2</PartyTypeID>
        <ActivityStatusID>1</ActivityStatusID>
        <PartyAliasID>21</PartyAliasID>
        <PartyAliasName>בא כוח נתבעים</PartyAliasName>
        <OrdinalNumber>1</OrdinalNumber>
        <LegalEntityID>386156</LegalEntityID>
        <CaseLegalEntityID>123764306</CaseLegalEntityID>
        <AuthenticationTypeID>4</AuthenticationTypeID>
        <AuthenticationTypeName>מ.ר.</AuthenticationTypeName>
        <LegalEntityNumber>6151</LegalEntityNumber>
        <IsMainPartyType>true</IsMainPartyType>
        <CaseDisplayIdentifier>4392-03-23</CaseDisplayIdentifier>
        <CaseTypeID>1</CaseTypeID>
        <CaseTypeName>תיק אזרחי בסדר דין רגיל (ת"א)</CaseTypeName>
        <CaseName>אלייו נ' 589906114 ואח'</CaseName>
        <FullAddress>שלומציון המלכה 18 ירושלים </FullAddress>
        <EmailAddress>office@ca-law.co.il</EmailAddress>
        <MotionID>0</MotionID>
        <CasePleaID>0</CasePleaID>
        <FatherName xml:space="preserve">        </FatherName>
        <LinkedCaseID>0</LinkedCaseID>
        <PartyID>2</PartyID>
        <CasePartyCategoryID>2</CasePartyCategoryID>
        <LegalEntityAddressID>421498</LegalEntityAddressID>
        <LegalEntityEmailAddressID>31822539</LegalEntityEmailAddressID>
        <PleaTypeID>4</PleaTypeID>
        <LawyerOfficeName>א.כרמלי משרד עורכי דין</LawyerOfficeName>
        <LawyerOfficeID>419160</LawyerOfficeID>
        <GroupPartyAlias/>
        <IsConverted>false</IsConverted>
        <LegalEntityNameID>7140</LegalEntityNameID>
        <RepresentatedNamesOfAssistant/>
        <LegalEntityTypeID>4</LegalEntityTypeID>
        <IsVerdictExists>false</IsVerdictExists>
        <IsAsirAzir>false</IsAsirAzir>
        <IsPublicationProhibited>false</IsPublicationProhibited>
        <PublicationProhibitedFullName>אריה כרמלי</PublicationProhibitedFullName>
      </CaseParties>
      <CaseParties>
        <PartyTypeName>צד</PartyTypeName>
        <ProceedingType>בקשות</ProceedingType>
        <PleaName>בקשה של נתבע 3 בקשה משלימה לסילוק על הסף מטעם נתבע מס' 3 </PleaName>
        <PartyBelonging>צד ב'</PartyBelonging>
        <RoleName>משיב 2</RoleName>
        <IsSubProceeding>TRUE</IsSubProceeding>
        <FullName>בית חולים מאיר - כללית 589906114</FullName>
        <FirstName>בית חולים מאיר - כללית</FirstName>
        <LastName>589906114</LastName>
        <PartyPropertyName/>
        <AuthenticationTypeAndNumber>ת"ז </AuthenticationTypeAndNumber>
        <RepresentatedOrRepresentativesNames>אריה כרמלי</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257458588</CasePartyID>
        <PartyTypeID>1</PartyTypeID>
        <ActivityStatusID>1</ActivityStatusID>
        <PartyAliasID>4</PartyAliasID>
        <PartyAliasName>משיב</PartyAliasName>
        <OrdinalNumber>2</OrdinalNumber>
        <LegalEntityID>81073552</LegalEntityID>
        <CaseLegalEntityID>123435185</CaseLegalEntityID>
        <AuthenticationTypeID>1</AuthenticationTypeID>
        <AuthenticationTypeName>ת"ז</AuthenticationTypeName>
        <IsMainPartyType>false</IsMainPartyType>
        <CaseDisplayIdentifier>4392-03-23</CaseDisplayIdentifier>
        <CaseTypeID>1</CaseTypeID>
        <CaseTypeName>תיק אזרחי בסדר דין רגיל (ת"א)</CaseTypeName>
        <CaseName>אלייו נ' 589906114 ואח'</CaseName>
        <FullAddress>ארלוזרוב 101 תל אביב -יפו </FullAddress>
        <MotionID>105522443</MotionID>
        <CasePleaID>0</CasePleaID>
        <LinkedCaseID>0</LinkedCaseID>
        <PartyID>2</PartyID>
        <CasePartyCategoryID>4</CasePartyCategoryID>
        <LegalEntityAddressID>87834448</LegalEntityAddressID>
        <PleaTypeID>60</PleaTypeID>
        <GroupPartyAlias>משיבים</GroupPartyAlias>
        <IsConverted>false</IsConverted>
        <LegalEntityNameID>94513684</LegalEntityNameID>
        <RepresentatedNamesOfAssistant/>
        <LegalEntityTypeID>1</LegalEntityTypeID>
        <IsVerdictExists>false</IsVerdictExists>
        <IsAsirAzir>false</IsAsirAzir>
        <IsPublicationProhibited>false</IsPublicationProhibited>
        <PublicationProhibitedFullName>בית חולים מאיר - כללית 589906114</PublicationProhibitedFullName>
      </CaseParties>
      <CaseParties>
        <PartyTypeName>צד</PartyTypeName>
        <ProceedingType>בקשות</ProceedingType>
        <PleaName>בקשה של נתבע 3 בקשה משלימה לסילוק על הסף מטעם נתבע מס' 3 </PleaName>
        <PartyBelonging>צד ב'</PartyBelonging>
        <RoleName>משיב 3</RoleName>
        <IsSubProceeding>TRUE</IsSubProceeding>
        <FullName>קופת חולים כללית 589906114</FullName>
        <FirstName>קופת חולים כללית</FirstName>
        <LastName>589906114</LastName>
        <PartyPropertyName/>
        <AuthenticationTypeAndNumber>ת"ז </AuthenticationTypeAndNumber>
        <RepresentatedOrRepresentativesNames>אריה כרמלי</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257458589</CasePartyID>
        <PartyTypeID>1</PartyTypeID>
        <ActivityStatusID>1</ActivityStatusID>
        <PartyAliasID>4</PartyAliasID>
        <PartyAliasName>משיב</PartyAliasName>
        <OrdinalNumber>3</OrdinalNumber>
        <LegalEntityID>81073554</LegalEntityID>
        <CaseLegalEntityID>123435189</CaseLegalEntityID>
        <AuthenticationTypeID>1</AuthenticationTypeID>
        <AuthenticationTypeName>ת"ז</AuthenticationTypeName>
        <IsMainPartyType>false</IsMainPartyType>
        <CaseDisplayIdentifier>4392-03-23</CaseDisplayIdentifier>
        <CaseTypeID>1</CaseTypeID>
        <CaseTypeName>תיק אזרחי בסדר דין רגיל (ת"א)</CaseTypeName>
        <CaseName>אלייו נ' 589906114 ואח'</CaseName>
        <FullAddress/>
        <MotionID>105522443</MotionID>
        <CasePleaID>0</CasePleaID>
        <LinkedCaseID>0</LinkedCaseID>
        <PartyID>2</PartyID>
        <CasePartyCategoryID>4</CasePartyCategoryID>
        <PleaTypeID>60</PleaTypeID>
        <GroupPartyAlias>משיבים</GroupPartyAlias>
        <IsConverted>false</IsConverted>
        <LegalEntityNameID>94513687</LegalEntityNameID>
        <RepresentatedNamesOfAssistant/>
        <LegalEntityTypeID>1</LegalEntityTypeID>
        <IsVerdictExists>false</IsVerdictExists>
        <IsAsirAzir>false</IsAsirAzir>
        <IsPublicationProhibited>false</IsPublicationProhibited>
        <PublicationProhibitedFullName>קופת חולים כללית 589906114</PublicationProhibitedFullName>
      </CaseParties>
    </CasePartiesSelectionDS>
    <DecisionName>החלטה</DecisionName>
    <CourtDisplayName>בית המשפט המחוזי בתל אביב -יפו</CourtDisplayName>
    <IsCaseJudgePanel>false</IsCaseJudgePanel>
    <DecisionSignatureDate>2023-08-21T15:41:34.4218533+03:00</DecisionSignatureDate>
    <OpenCaseDate>2023-03-02T09:57:00+02:00</OpenCaseDate>
    <CaseFeeSum>0.000</CaseFeeSum>
    <DecisionTypeID>1</DecisionTypeID>
    <DecisionSignatureUserName>אירית קלמן ברום</DecisionSignatureUserName>
    <MotionID>105522443</MotionID>
    <DecisionSignatureDateHebrew>2023-08-21T15:41:34.4218533+03:00</DecisionSignatureDateHebrew>
    <MotionNumber>7</MotionNumber>
    <DecisionWriterID>055503858@GOV.IL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פלוני נ' 589906114 ואח'</CaseName>
    <DecisionNumberInCase>9</DecisionNumberInCase>
  </dt_Decision>
  <dt_DecisionCase>
    <DecisionID>0</DecisionID>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iesSelectionDS>
      <CaseParties>
        <PartyTypeName>צד</PartyTypeName>
        <ProceedingType>בקשות</ProceedingType>
        <PleaName>בקשה של נתבע 3 בקשה משלימה לסילוק על הסף מטעם נתבע מס' 3 </PleaName>
        <PartyBelonging>צד א'</PartyBelonging>
        <RoleName>מבקש 1</RoleName>
        <IsSubProceeding>TRUE</IsSubProceeding>
        <FullName>בית חולים לניאדו 580082014</FullName>
        <FirstName>בית חולים לניאדו</FirstName>
        <LastName>580082014</LastName>
        <PartyPropertyName/>
        <AuthenticationTypeAndNumber>ת"ז </AuthenticationTypeAndNumber>
        <RepresentatedOrRepresentativesNames>איתן האזרחי</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257458586</CasePartyID>
        <PartyTypeID>1</PartyTypeID>
        <ActivityStatusID>1</ActivityStatusID>
        <PartyAliasID>3</PartyAliasID>
        <PartyAliasName>מבקש</PartyAliasName>
        <OrdinalNumber>1</OrdinalNumber>
        <LegalEntityID>81073553</LegalEntityID>
        <CaseLegalEntityID>123435186</CaseLegalEntityID>
        <AuthenticationTypeID>1</AuthenticationTypeID>
        <AuthenticationTypeName>ת"ז</AuthenticationTypeName>
        <IsMainPartyType>false</IsMainPartyType>
        <CaseDisplayIdentifier>4392-03-23</CaseDisplayIdentifier>
        <CaseTypeID>1</CaseTypeID>
        <CaseTypeName>תיק אזרחי בסדר דין רגיל (ת"א)</CaseTypeName>
        <CaseName>אלייו נ' 589906114 ואח'</CaseName>
        <FullAddress>דברי חיים 16 נתניה </FullAddress>
        <MotionID>105522443</MotionID>
        <CasePleaID>0</CasePleaID>
        <LinkedCaseID>0</LinkedCaseID>
        <PartyID>1</PartyID>
        <CasePartyCategoryID>4</CasePartyCategoryID>
        <LegalEntityAddressID>87634776</LegalEntityAddressID>
        <PleaTypeID>60</PleaTypeID>
        <GroupPartyAlias>מבקשים</GroupPartyAlias>
        <IsConverted>false</IsConverted>
        <LegalEntityNameID>94513685</LegalEntityNameID>
        <RepresentatedNamesOfAssistant/>
        <LegalEntityTypeID>1</LegalEntityTypeID>
        <IsVerdictExists>false</IsVerdictExists>
        <IsAsirAzir>false</IsAsirAzir>
        <IsPublicationProhibited>false</IsPublicationProhibited>
        <PublicationProhibitedFullName>בית חולים לניאדו 580082014</PublicationProhibitedFullName>
      </CaseParties>
      <CaseParties>
        <PartyTypeName>צד</PartyTypeName>
        <ProceedingType>בקשות</ProceedingType>
        <PleaName>בקשה של נתבע 3 בקשה משלימה לסילוק על הסף מטעם נתבע מס' 3 </PleaName>
        <PartyBelonging>צד ב'</PartyBelonging>
        <RoleName>משיב 1</RoleName>
        <IsSubProceeding>TRUE</IsSubProceeding>
        <FullName>רחמים אלייו</FullName>
        <FirstName>רחמים</FirstName>
        <LastName>אלייו</LastName>
        <PartyPropertyName/>
        <AuthenticationTypeAndNumber>ת"ז 311405294</AuthenticationTypeAndNumber>
        <RepresentatedOrRepresentativesNames>אסף נוי</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257458587</CasePartyID>
        <PartyTypeID>1</PartyTypeID>
        <ActivityStatusID>1</ActivityStatusID>
        <PartyAliasID>4</PartyAliasID>
        <PartyAliasName>משיב</PartyAliasName>
        <OrdinalNumber>1</OrdinalNumber>
        <LegalEntityID>78082961</LegalEntityID>
        <CaseLegalEntityID>123435187</CaseLegalEntityID>
        <AuthenticationTypeID>1</AuthenticationTypeID>
        <AuthenticationTypeName>ת"ז</AuthenticationTypeName>
        <LegalEntityNumber>311405294</LegalEntityNumber>
        <IsMainPartyType>false</IsMainPartyType>
        <CaseDisplayIdentifier>4392-03-23</CaseDisplayIdentifier>
        <CaseTypeID>1</CaseTypeID>
        <CaseTypeName>תיק אזרחי בסדר דין רגיל (ת"א)</CaseTypeName>
        <CaseName>אלייו נ' 589906114 ואח'</CaseName>
        <FullAddress>שדרות בן צבי 78 נתניה </FullAddress>
        <MotionID>105522443</MotionID>
        <CasePleaID>0</CasePleaID>
        <FatherName>ברהנה</FatherName>
        <LinkedCaseID>0</LinkedCaseID>
        <PartyID>2</PartyID>
        <CasePartyCategoryID>4</CasePartyCategoryID>
        <LegalEntityAddressID>87634225</LegalEntityAddressID>
        <PleaTypeID>60</PleaTypeID>
        <GroupPartyAlias>משיבים</GroupPartyAlias>
        <IsConverted>false</IsConverted>
        <LegalEntityRegisteredNameID>8572349</LegalEntityRegisteredNameID>
        <LegalEntityNameID>94513686</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אסף נוי</FullName>
        <FirstName>אסף</FirstName>
        <LastName>נוי</LastName>
        <PartyPropertyName/>
        <AuthenticationTypeAndNumber>מ.ר. 38351</AuthenticationTypeAndNumber>
        <RepresentatedOrRepresentativesNames>רחמים אלייו</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252714799</CasePartyID>
        <PartyTypeID>2</PartyTypeID>
        <ActivityStatusID>1</ActivityStatusID>
        <PartyAliasID>20</PartyAliasID>
        <PartyAliasName>בא כוח תובעים</PartyAliasName>
        <OrdinalNumber>1</OrdinalNumber>
        <LegalEntityID>409088</LegalEntityID>
        <CaseLegalEntityID>123435188</CaseLegalEntityID>
        <AuthenticationTypeID>4</AuthenticationTypeID>
        <AuthenticationTypeName>מ.ר.</AuthenticationTypeName>
        <LegalEntityNumber>38351</LegalEntityNumber>
        <IsMainPartyType>true</IsMainPartyType>
        <CaseDisplayIdentifier>4392-03-23</CaseDisplayIdentifier>
        <CaseTypeID>1</CaseTypeID>
        <CaseTypeName>תיק אזרחי בסדר דין רגיל (ת"א)</CaseTypeName>
        <CaseName>אלייו נ' 589906114 ואח'</CaseName>
        <FullAddress>רוטשילד 57 כפר סבא ת.ד 899</FullAddress>
        <EmailAddress>noyassaf@gmail.com</EmailAddress>
        <MotionID>0</MotionID>
        <CasePleaID>0</CasePleaID>
        <FatherName xml:space="preserve">        </FatherName>
        <LinkedCaseID>0</LinkedCaseID>
        <PartyID>1</PartyID>
        <CasePartyCategoryID>2</CasePartyCategoryID>
        <LegalEntityAddressID>70249790</LegalEntityAddressID>
        <LegalEntityEmailAddressID>67829301</LegalEntityEmailAddressID>
        <PleaTypeID>4</PleaTypeID>
        <LawyerOfficeName>משרד עו"ד: אסף נוי</LawyerOfficeName>
        <LawyerOfficeID>449732</LawyerOfficeID>
        <GroupPartyAlias/>
        <IsConverted>false</IsConverted>
        <LegalEntityNameID>30072</LegalEntityNameID>
        <RepresentatedNamesOfAssistant/>
        <LegalEntityTypeID>4</LegalEntityTypeID>
        <IsVerdictExists>false</IsVerdictExists>
        <IsAsirAzir>false</IsAsirAzir>
        <IsPublicationProhibited>false</IsPublicationProhibited>
        <PublicationProhibitedFullName>אסף נוי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איתן האזרחי</FullName>
        <FirstName>איתן</FirstName>
        <LastName>האזרחי</LastName>
        <PartyPropertyName/>
        <AuthenticationTypeAndNumber>מ.ר. 14159</AuthenticationTypeAndNumber>
        <RepresentatedOrRepresentativesNames>בית חולים לניאדו 580082014</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255707268</CasePartyID>
        <PartyTypeID>2</PartyTypeID>
        <ActivityStatusID>1</ActivityStatusID>
        <PartyAliasID>21</PartyAliasID>
        <PartyAliasName>בא כוח נתבעים</PartyAliasName>
        <OrdinalNumber>1</OrdinalNumber>
        <LegalEntityID>382693</LegalEntityID>
        <CaseLegalEntityID>124357236</CaseLegalEntityID>
        <AuthenticationTypeID>4</AuthenticationTypeID>
        <AuthenticationTypeName>מ.ר.</AuthenticationTypeName>
        <LegalEntityNumber>14159</LegalEntityNumber>
        <IsMainPartyType>true</IsMainPartyType>
        <CaseDisplayIdentifier>4392-03-23</CaseDisplayIdentifier>
        <CaseTypeID>1</CaseTypeID>
        <CaseTypeName>תיק אזרחי בסדר דין רגיל (ת"א)</CaseTypeName>
        <CaseName>אלייו נ' 589906114 ואח'</CaseName>
        <FullAddress>בן זכאי 6 תל אביב -יפו </FullAddress>
        <EmailAddress>office@sh-ez.com</EmailAddress>
        <MotionID>0</MotionID>
        <CasePleaID>0</CasePleaID>
        <FatherName xml:space="preserve">        </FatherName>
        <LinkedCaseID>0</LinkedCaseID>
        <PartyID>2</PartyID>
        <CasePartyCategoryID>2</CasePartyCategoryID>
        <LegalEntityAddressID>425675</LegalEntityAddressID>
        <LegalEntityEmailAddressID>67901181</LegalEntityEmailAddressID>
        <PleaTypeID>4</PleaTypeID>
        <LawyerOfficeName>משרד עו"ד: איתן האזרחי</LawyerOfficeName>
        <LawyerOfficeID>423337</LawyerOfficeID>
        <GroupPartyAlias/>
        <IsConverted>false</IsConverted>
        <LegalEntityNameID>3677</LegalEntityNameID>
        <RepresentatedNamesOfAssistant/>
        <LegalEntityTypeID>4</LegalEntityTypeID>
        <IsVerdictExists>false</IsVerdictExists>
        <IsAsirAzir>false</IsAsirAzir>
        <IsPublicationProhibited>false</IsPublicationProhibited>
        <PublicationProhibitedFullName>איתן האזרחי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אריה כרמלי</FullName>
        <FirstName>אריה</FirstName>
        <LastName>כרמלי</LastName>
        <PartyPropertyName/>
        <AuthenticationTypeAndNumber>מ.ר. 6151</AuthenticationTypeAndNumber>
        <RepresentatedOrRepresentativesNames>בית חולים מאיר - כללית 589906114, קופת חולים כללית 589906114</RepresentatedOrRepresentativesNames>
        <RepresentatedOrRepresentativesCount>2</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253799156</CasePartyID>
        <PartyTypeID>2</PartyTypeID>
        <ActivityStatusID>1</ActivityStatusID>
        <PartyAliasID>21</PartyAliasID>
        <PartyAliasName>בא כוח נתבעים</PartyAliasName>
        <OrdinalNumber>1</OrdinalNumber>
        <LegalEntityID>386156</LegalEntityID>
        <CaseLegalEntityID>123764306</CaseLegalEntityID>
        <AuthenticationTypeID>4</AuthenticationTypeID>
        <AuthenticationTypeName>מ.ר.</AuthenticationTypeName>
        <LegalEntityNumber>6151</LegalEntityNumber>
        <IsMainPartyType>true</IsMainPartyType>
        <CaseDisplayIdentifier>4392-03-23</CaseDisplayIdentifier>
        <CaseTypeID>1</CaseTypeID>
        <CaseTypeName>תיק אזרחי בסדר דין רגיל (ת"א)</CaseTypeName>
        <CaseName>אלייו נ' 589906114 ואח'</CaseName>
        <FullAddress>שלומציון המלכה 18 ירושלים </FullAddress>
        <EmailAddress>office@ca-law.co.il</EmailAddress>
        <MotionID>0</MotionID>
        <CasePleaID>0</CasePleaID>
        <FatherName xml:space="preserve">        </FatherName>
        <LinkedCaseID>0</LinkedCaseID>
        <PartyID>2</PartyID>
        <CasePartyCategoryID>2</CasePartyCategoryID>
        <LegalEntityAddressID>421498</LegalEntityAddressID>
        <LegalEntityEmailAddressID>31822539</LegalEntityEmailAddressID>
        <PleaTypeID>4</PleaTypeID>
        <LawyerOfficeName>א.כרמלי משרד עורכי דין</LawyerOfficeName>
        <LawyerOfficeID>419160</LawyerOfficeID>
        <GroupPartyAlias/>
        <IsConverted>false</IsConverted>
        <LegalEntityNameID>7140</LegalEntityNameID>
        <RepresentatedNamesOfAssistant/>
        <LegalEntityTypeID>4</LegalEntityTypeID>
        <IsVerdictExists>false</IsVerdictExists>
        <IsAsirAzir>false</IsAsirAzir>
        <IsPublicationProhibited>false</IsPublicationProhibited>
        <PublicationProhibitedFullName>אריה כרמלי</PublicationProhibitedFullName>
      </CaseParties>
      <CaseParties>
        <PartyTypeName>צד</PartyTypeName>
        <ProceedingType>בקשות</ProceedingType>
        <PleaName>בקשה של נתבע 3 בקשה משלימה לסילוק על הסף מטעם נתבע מס' 3 </PleaName>
        <PartyBelonging>צד ב'</PartyBelonging>
        <RoleName>משיב 2</RoleName>
        <IsSubProceeding>TRUE</IsSubProceeding>
        <FullName>בית חולים מאיר - כללית 589906114</FullName>
        <FirstName>בית חולים מאיר - כללית</FirstName>
        <LastName>589906114</LastName>
        <PartyPropertyName/>
        <AuthenticationTypeAndNumber>ת"ז </AuthenticationTypeAndNumber>
        <RepresentatedOrRepresentativesNames>אריה כרמלי</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257458588</CasePartyID>
        <PartyTypeID>1</PartyTypeID>
        <ActivityStatusID>1</ActivityStatusID>
        <PartyAliasID>4</PartyAliasID>
        <PartyAliasName>משיב</PartyAliasName>
        <OrdinalNumber>2</OrdinalNumber>
        <LegalEntityID>81073552</LegalEntityID>
        <CaseLegalEntityID>123435185</CaseLegalEntityID>
        <AuthenticationTypeID>1</AuthenticationTypeID>
        <AuthenticationTypeName>ת"ז</AuthenticationTypeName>
        <IsMainPartyType>false</IsMainPartyType>
        <CaseDisplayIdentifier>4392-03-23</CaseDisplayIdentifier>
        <CaseTypeID>1</CaseTypeID>
        <CaseTypeName>תיק אזרחי בסדר דין רגיל (ת"א)</CaseTypeName>
        <CaseName>אלייו נ' 589906114 ואח'</CaseName>
        <FullAddress>ארלוזרוב 101 תל אביב -יפו </FullAddress>
        <MotionID>105522443</MotionID>
        <CasePleaID>0</CasePleaID>
        <LinkedCaseID>0</LinkedCaseID>
        <PartyID>2</PartyID>
        <CasePartyCategoryID>4</CasePartyCategoryID>
        <LegalEntityAddressID>87834448</LegalEntityAddressID>
        <PleaTypeID>60</PleaTypeID>
        <GroupPartyAlias>משיבים</GroupPartyAlias>
        <IsConverted>false</IsConverted>
        <LegalEntityNameID>94513684</LegalEntityNameID>
        <RepresentatedNamesOfAssistant/>
        <LegalEntityTypeID>1</LegalEntityTypeID>
        <IsVerdictExists>false</IsVerdictExists>
        <IsAsirAzir>false</IsAsirAzir>
        <IsPublicationProhibited>false</IsPublicationProhibited>
        <PublicationProhibitedFullName>בית חולים מאיר - כללית 589906114</PublicationProhibitedFullName>
      </CaseParties>
      <CaseParties>
        <PartyTypeName>צד</PartyTypeName>
        <ProceedingType>בקשות</ProceedingType>
        <PleaName>בקשה של נתבע 3 בקשה משלימה לסילוק על הסף מטעם נתבע מס' 3 </PleaName>
        <PartyBelonging>צד ב'</PartyBelonging>
        <RoleName>משיב 3</RoleName>
        <IsSubProceeding>TRUE</IsSubProceeding>
        <FullName>קופת חולים כללית 589906114</FullName>
        <FirstName>קופת חולים כללית</FirstName>
        <LastName>589906114</LastName>
        <PartyPropertyName/>
        <AuthenticationTypeAndNumber>ת"ז </AuthenticationTypeAndNumber>
        <RepresentatedOrRepresentativesNames>אריה כרמלי</RepresentatedOrRepresentativesNames>
        <RepresentatedOrRepresentativesCount>1</RepresentatedOrRepresentativesCount>
        <InvitedBy/>
        <CaseID>80057157</CaseID>
        <CaseJudicialPersonPresentationDS>
          <CaseJudicalPersonActive>
            <CaseID>80057157</CaseID>
            <MotionID>105522443</MotionID>
            <JudicialPersonID>055503858@GOV.IL</JudicialPersonID>
            <JudicialPersonTypeID>1</JudicialPersonTypeID>
            <JudicialTypeID>1</JudicialTypeID>
            <IsChairman>false</IsChairman>
            <TreatmentStartDate>2023-06-25T11:35:00.427+03:00</TreatmentStartDate>
            <TreatmentFinishDate>9999-12-31T23:59:59.997+02:00</TreatmentFinishDate>
            <IdentificationCardNumber>055503858</IdentificationCardNumber>
            <DisplayName>אירית קלמן ברום</DisplayName>
            <JudicialTypeName>שופט</JudicialTypeName>
            <CaseJudicialGroupNumber>0</CaseJudicialGroupNumber>
            <FirstName>אירית</FirstName>
            <LastName>קלמן ברום</LastName>
            <JudicialPersonTitle>שופט</JudicialPersonTitle>
          </CaseJudicalPersonActive>
        </CaseJudicialPersonPresentationDS>
        <CasePartyID>257458589</CasePartyID>
        <PartyTypeID>1</PartyTypeID>
        <ActivityStatusID>1</ActivityStatusID>
        <PartyAliasID>4</PartyAliasID>
        <PartyAliasName>משיב</PartyAliasName>
        <OrdinalNumber>3</OrdinalNumber>
        <LegalEntityID>81073554</LegalEntityID>
        <CaseLegalEntityID>123435189</CaseLegalEntityID>
        <AuthenticationTypeID>1</AuthenticationTypeID>
        <AuthenticationTypeName>ת"ז</AuthenticationTypeName>
        <IsMainPartyType>false</IsMainPartyType>
        <CaseDisplayIdentifier>4392-03-23</CaseDisplayIdentifier>
        <CaseTypeID>1</CaseTypeID>
        <CaseTypeName>תיק אזרחי בסדר דין רגיל (ת"א)</CaseTypeName>
        <CaseName>אלייו נ' 589906114 ואח'</CaseName>
        <FullAddress/>
        <MotionID>105522443</MotionID>
        <CasePleaID>0</CasePleaID>
        <LinkedCaseID>0</LinkedCaseID>
        <PartyID>2</PartyID>
        <CasePartyCategoryID>4</CasePartyCategoryID>
        <PleaTypeID>60</PleaTypeID>
        <GroupPartyAlias>משיבים</GroupPartyAlias>
        <IsConverted>false</IsConverted>
        <LegalEntityNameID>94513687</LegalEntityNameID>
        <RepresentatedNamesOfAssistant/>
        <LegalEntityTypeID>1</LegalEntityTypeID>
        <IsVerdictExists>false</IsVerdictExists>
        <IsAsirAzir>false</IsAsirAzir>
        <IsPublicationProhibited>false</IsPublicationProhibited>
        <PublicationProhibitedFullName>קופת חולים כללית 589906114</PublicationProhibitedFullName>
      </CaseParties>
    </CasePartiesSelectionDS>
    <CaseName>אלייו נ' 589906114 ואח'</CaseName>
    <CaseDisplayIdentifier>4392-03-23</CaseDisplayIdentifier>
    <CaseInterestID>10445</CaseInterestID>
    <CaseTypeShortName>ת"א</CaseTypeShortName>
  </dt_DecisionCase>
  <dt_DecisionJudgePanel>
    <JudgeID>055503858@GOV.IL</JudgeID>
    <DisplayName>אירית קלמן ברום</DisplayName>
    <RoleName>שופט</RoleName>
    <UserTitleName>שופטת</UserTitleName>
  </dt_DecisionJudgePanel>
  <dt_LegalEntityDetails>
    <PartyID>1</PartyID>
    <PartyTypeID>1</PartyTypeID>
    <DecisionID>0</DecisionID>
    <StreetName>שדרות בן צבי 78</StreetName>
    <CityName>נתניה</CityName>
    <FullName>רחמים אלייו</FullName>
    <IsPublicationProhibited>true</IsPublicationProhibited>
  </dt_LegalEntityDetails>
  <dt_LegalEntityDetails>
    <Fax>09-7677850</Fax>
    <AddressDesc>ת.ד 899</AddressDesc>
    <PartyID>1</PartyID>
    <PartyTypeID>2</PartyTypeID>
    <DecisionID>0</DecisionID>
    <StreetName>רוטשילד 57</StreetName>
    <CityName>כפר סבא</CityName>
    <FullName>אסף נוי</FullName>
    <Email>noyassaf@gmail.com</Email>
    <IsPublicationProhibited>false</IsPublicationProhibited>
  </dt_LegalEntityDetails>
  <dt_LegalEntityDetails>
    <PartyID>2</PartyID>
    <PartyTypeID>1</PartyTypeID>
    <DecisionID>0</DecisionID>
    <FullName>קופת חולים כללית  589906114</FullName>
    <IsPublicationProhibited>false</IsPublicationProhibited>
  </dt_LegalEntityDetails>
  <dt_LegalEntityDetails>
    <Fax>02-6250777</Fax>
    <Phone>02-6245245</Phone>
    <PartyID>2</PartyID>
    <PartyTypeID>2</PartyTypeID>
    <DecisionID>0</DecisionID>
    <StreetName>שלומציון המלכה 18</StreetName>
    <ZipCode>94146</ZipCode>
    <CityName>ירושלים</CityName>
    <FullName>אריה כרמלי</FullName>
    <Email>office@ca-law.co.il</Email>
    <IsPublicationProhibited>false</IsPublicationProhibited>
  </dt_LegalEntityDetails>
  <dt_LegalEntityDetails>
    <Fax>03-5662555</Fax>
    <Phone>03-5666886</Phone>
    <PartyID>2</PartyID>
    <PartyTypeID>2</PartyTypeID>
    <DecisionID>0</DecisionID>
    <StreetName>בן זכאי 6</StreetName>
    <ZipCode>65203</ZipCode>
    <CityName>תל אביב -יפו</CityName>
    <FullName>איתן האזרחי</FullName>
    <Email>office@sh-ez.com</Email>
    <IsPublicationProhibited>false</IsPublicationProhibited>
  </dt_LegalEntityDetails>
  <dt_LegalEntityDetails>
    <PartyID>2</PartyID>
    <PartyTypeID>1</PartyTypeID>
    <DecisionID>0</DecisionID>
    <StreetName>ארלוזרוב 101</StreetName>
    <CityName>תל אביב -יפו</CityName>
    <FullName>בית חולים מאיר - כללית 589906114</FullName>
    <IsPublicationProhibited>false</IsPublicationProhibited>
  </dt_LegalEntityDetails>
  <dt_LegalEntityDetails>
    <Phone>09-8604666</Phone>
    <PartyID>2</PartyID>
    <PartyTypeID>1</PartyTypeID>
    <DecisionID>0</DecisionID>
    <StreetName>דברי חיים 16</StreetName>
    <CityName>נתניה</CityName>
    <FullName>בית חולים לניאדו  580082014</FullName>
    <IsPublicationProhibited>false</IsPublicationProhibited>
  </dt_LegalEntityDetails>
  <dt_CaseJudicalPersonActive>
    <CaseJudicalPerson>שופטת אירית קלמן ברום</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506F3-D42D-4643-812F-E582AC617967}">
  <ds:schemaRefs/>
</ds:datastoreItem>
</file>

<file path=customXml/itemProps2.xml><?xml version="1.0" encoding="utf-8"?>
<ds:datastoreItem xmlns:ds="http://schemas.openxmlformats.org/officeDocument/2006/customXml" ds:itemID="{FF191737-2501-4CF3-90DB-34374A591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2883</Words>
  <Characters>14420</Characters>
  <Application>Microsoft Office Word</Application>
  <DocSecurity>0</DocSecurity>
  <Lines>120</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2023-09-18T06:58:00Z</dcterms:created>
  <dcterms:modified xsi:type="dcterms:W3CDTF">2023-09-18T06:58:00Z</dcterms:modified>
</cp:coreProperties>
</file>